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Alginate Over Metallic Structures in CBCT Do Not Reduce Artifact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Objective: To characterize and compare peri-implant CBCT gray-value distributions at standardized sampling locations around titanium implants in matched scan configurations acquired with and without alginate, and to assess consistency across three trials and tray status.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ex-vivo experiment was conducted using dry human skulls with three Straumann titanium dental implants placed in edentulous sites. Ten CBCT scans (Scans A-J) were acquired with and without the use of alginate impression material. Two board-certified radiologists performed a qualitative assessment of scatter artifacts using a modified Likert scale. A quantitative evaluation was also conducted to analyze pixel intensity values (PIVs) in areas surrounding the implants, focusing on the impact of alginate on scatter artifacts.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Results: The spreadsheet audit confirmed 18 site rows with 72 measurements per site, organized as three trials of 24 measurements. Nine of ten manuscript scan means reproduced from trial 1 at two decimals; Scan F was 632.2047 in the spreadsheet (632.20) versus 632.21 in the manuscripts. Across the matched B–C, E–F, G–H, and I–J configurations, alginate scans had higher descriptive mean peri-implant gray values in each trial. Because repeated points within a scan are correlated, these summaries are exploratory and do not independently establish artifact magnitude.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Qualitative analysis, however, revealed that alginate improved the overall image quality by softening the scans but reduced sharpness around implant areas. This suggests a trade-off between image sharpness and artifact clarity when using alginate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Conclusion: In this ex-vivo dataset, matched scans acquired with alginate showed higher descriptive peri-implant gray values across three trials. CBCT gray values are protocol-dependent surrogate imaging outcomes, and repeated sampling locations within a scan are not independent experimental replicates. These findings should not be interpreted as demonstrating that alginate reduces or worsens metal artifact. Independent acquisition-level replication and a validated direct artifact outcome are needed for confirmatory inference.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141"/>
        <w:gridCol w:w="1558"/>
        <w:gridCol w:w="1558"/>
        <w:gridCol w:w="1559"/>
        <w:tblGridChange w:id="0">
          <w:tblGrid>
            <w:gridCol w:w="1975"/>
            <w:gridCol w:w="1141"/>
            <w:gridCol w:w="1558"/>
            <w:gridCol w:w="1558"/>
            <w:gridCol w:w="155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Comparison of all scans acquired with Scan A (Control Scan)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Comparison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Mean Pixel Intensity (Scan A vs X)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Mean Difference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p-value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Significance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A (Control)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123.05 vs —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—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A vs 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C (Alginate)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123.05 vs 534.36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-411.31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0.091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Not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A vs 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D (Alginate)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123.05 vs 589.17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-466.12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0.029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A vs Scan F (Alginate)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123.05 vs 632.21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-509.16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A vs </w:t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H (Alginate)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123.05 vs 598.67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-475.62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Significant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A vs </w:t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Scan J (Alginate)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123.05 vs 639.13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-516.08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rtl w:val="0"/>
              </w:rPr>
              <w:t xml:space="preserve">Highly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A vs 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B (No Alginate)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123.05 vs 395.84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-272.79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0.622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A vs Scan E (No Alginate)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123.05 vs 261.09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-138.04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0.979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A vs Scan G (No Alginate)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123.05 vs 465.33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-342.28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0.123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Scan A vs Scan I (No Alginate)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123.05 vs 372.97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-249.92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0.453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Not significant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1"/>
        <w:gridCol w:w="1021"/>
        <w:gridCol w:w="1366"/>
        <w:gridCol w:w="983"/>
        <w:gridCol w:w="1593"/>
        <w:tblGridChange w:id="0">
          <w:tblGrid>
            <w:gridCol w:w="3411"/>
            <w:gridCol w:w="1021"/>
            <w:gridCol w:w="1366"/>
            <w:gridCol w:w="983"/>
            <w:gridCol w:w="159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Comparison of Scans with similar Scenarios – Presence Vs Absence of Alginate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Comparison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Mean Pixel Intensity (Scan X vs Y)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Mean Difference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p-value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Significance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 E (No Alginate)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vs Scan F(Alginate)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261.09 vs 632.21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-371.12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0.012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 G (No Alginate) vs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 H(Alginate)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465.33 vs 598.67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-133.34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0.087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significant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 I (No Alginate) vs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Scan J(Alginate)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372.97 vs 639.13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-266.16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0.049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Significant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C36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B6B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5B6B1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41XwAkytvq3O5WAmRxWZ0mVmg==">CgMxLjAyCGguZ2pkZ3hzOAByITFmbTJ2UmJFMFU3RnM0c0cwOWRaUWJObnBKazhvcmZsLQ==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2024-10-22T03:06:00Z</dcterms:created>
  <dc:creator>Anusha Vaddi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e2e433909f805d5b7027dbb3d14b0cd1b951e8a1c868274fbdb99a92c58fcddd</vt:lpwstr>
  </property>
</Properties>
</file>