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Evaluating the Effect of Alginate Impression Material on Metal Artifact generated in Cone-Beam Computed Tomography (CBCT) Scans</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Anusha Vaddi</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Dziallo</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Alen Docef</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Aditya Tadinada</w:t>
      </w:r>
    </w:p>
    <w:p w:rsidR="00000000" w:rsidDel="00000000" w:rsidP="00000000" w:rsidRDefault="00000000" w:rsidRPr="00000000" w14:paraId="0000000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t>Objective: To characterize and compare peri-implant CBCT gray-value distributions at standardized sampling locations around titanium implants in matched scan configurations acquired with and without alginate, and to assess consistency across three trials and tray status.</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An ex-vivo study was conducted using dry human skulls with three Straumann titanium dental implants placed in edentulous sites. A total of Ten CBCT scans (Scan A-J) were acquired under standardized conditions, with and without the use of alginate impression material. Two board-certified oral and maxillofacial radiologists independently performed a qualitative assessment of scatter artifacts using a modified Likert scale. A quantitative evaluation was also conducted by measuring pixel intensity values (PIVs) in regions adjacent to the implants to assess artifact magnitude. </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t>Results: The spreadsheet audit confirmed 18 site rows with 72 measurements per site, organized as three trials of 24 measurements. Nine of ten manuscript scan means reproduced from trial 1 at two decimals; Scan F was 632.2047 in the spreadsheet (632.20) versus 632.21 in the manuscripts. Across the matched B–C, E–F, G–H, and I–J configurations, alginate scans had higher descriptive mean peri-implant gray values in each trial. Because repeated points within a scan are correlated, these summaries are exploratory and do not independently establish artifact magnitude.</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analysis revealed that alginate application subjectively improved the overall image smoothness but reduced sharpness and definition around implant surfaces. This indicates a trade-off between perceived image uniformity and  diagnostic clarity in high-density regions. </w:t>
      </w:r>
    </w:p>
    <w:p w:rsidR="00000000" w:rsidDel="00000000" w:rsidP="00000000" w:rsidRDefault="00000000" w:rsidRPr="00000000" w14:paraId="0000001C">
      <w:pPr>
        <w:spacing w:line="360" w:lineRule="auto"/>
        <w:jc w:val="both"/>
        <w:rPr>
          <w:rFonts w:ascii="Times New Roman" w:cs="Times New Roman" w:eastAsia="Times New Roman" w:hAnsi="Times New Roman"/>
          <w:b w:val="1"/>
          <w:bCs w:val="1"/>
          <w:sz w:val="24"/>
          <w:szCs w:val="24"/>
        </w:rPr>
      </w:pPr>
      <w:r>
        <w:t>Conclusion: In this ex-vivo dataset, matched scans acquired with alginate showed higher descriptive peri-implant gray values across three trials. CBCT gray values are protocol-dependent surrogate imaging outcomes, and repeated sampling locations within a scan are not independent experimental replicates. These findings should not be interpreted as demonstrating that alginate reduces or worsens metal artifact. Independent acquisition-level replication and a validated direct artifact outcome are needed for confirmatory inference.</w:t>
      </w:r>
    </w:p>
    <w:p w:rsidR="00000000" w:rsidDel="00000000" w:rsidP="00000000" w:rsidRDefault="00000000" w:rsidRPr="00000000" w14:paraId="0000001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CBCT is widely used in</w:t>
      </w:r>
      <w:r w:rsidDel="00000000" w:rsidR="00000000" w:rsidRPr="00000000">
        <w:rPr>
          <w:rFonts w:ascii="Times New Roman" w:cs="Times New Roman" w:eastAsia="Times New Roman" w:hAnsi="Times New Roman"/>
          <w:sz w:val="24"/>
          <w:szCs w:val="24"/>
          <w:rtl w:val="0"/>
        </w:rPr>
        <w:t xml:space="preserve"> implant </w:t>
      </w:r>
      <w:r w:rsidDel="00000000" w:rsidR="00000000" w:rsidRPr="00000000">
        <w:rPr>
          <w:rFonts w:ascii="Times New Roman" w:cs="Times New Roman" w:eastAsia="Times New Roman" w:hAnsi="Times New Roman"/>
          <w:color w:val="000000"/>
          <w:sz w:val="24"/>
          <w:szCs w:val="24"/>
          <w:rtl w:val="0"/>
        </w:rPr>
        <w:t xml:space="preserve">dentistry </w:t>
      </w:r>
      <w:r w:rsidDel="00000000" w:rsidR="00000000" w:rsidRPr="00000000">
        <w:rPr>
          <w:rFonts w:ascii="Times New Roman" w:cs="Times New Roman" w:eastAsia="Times New Roman" w:hAnsi="Times New Roman"/>
          <w:sz w:val="24"/>
          <w:szCs w:val="24"/>
          <w:rtl w:val="0"/>
        </w:rPr>
        <w:t xml:space="preserve">for pre-operative treatment planning and evaluation. It offers several advantages such as enhanced three-dimensional visualization, quantitative assessment of bone dimensions and improved identification of vital anatomical structures in the proximity.</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Arial" w:cs="Arial" w:eastAsia="Arial" w:hAnsi="Arial"/>
          <w:color w:val="0000ff"/>
          <w:sz w:val="20"/>
          <w:szCs w:val="20"/>
          <w:highlight w:val="white"/>
          <w:rtl w:val="0"/>
        </w:rPr>
        <w:t xml:space="preserve"> </w:t>
      </w:r>
      <w:r w:rsidDel="00000000" w:rsidR="00000000" w:rsidRPr="00000000">
        <w:rPr>
          <w:rFonts w:ascii="Arial" w:cs="Arial" w:eastAsia="Arial" w:hAnsi="Arial"/>
          <w:sz w:val="20"/>
          <w:szCs w:val="20"/>
          <w:highlight w:val="white"/>
          <w:rtl w:val="0"/>
        </w:rPr>
        <w:t xml:space="preserve">However,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significant limitation of CBCT,  Particularly during the post-operative phase for monitoring peri-implant bone levels and pathology, is the presence of metal artifacts. </w:t>
      </w:r>
    </w:p>
    <w:p w:rsidR="00000000" w:rsidDel="00000000" w:rsidP="00000000" w:rsidRDefault="00000000" w:rsidRPr="00000000" w14:paraId="00000020">
      <w:pPr>
        <w:spacing w:line="360" w:lineRule="auto"/>
        <w:jc w:val="both"/>
        <w:rPr>
          <w:rFonts w:ascii="Arial" w:cs="Arial" w:eastAsia="Arial" w:hAnsi="Arial"/>
          <w:color w:val="0000ff"/>
          <w:sz w:val="20"/>
          <w:szCs w:val="20"/>
          <w:highlight w:val="white"/>
        </w:rPr>
      </w:pPr>
      <w:r w:rsidDel="00000000" w:rsidR="00000000" w:rsidRPr="00000000">
        <w:rPr>
          <w:rFonts w:ascii="Times New Roman" w:cs="Times New Roman" w:eastAsia="Times New Roman" w:hAnsi="Times New Roman"/>
          <w:sz w:val="24"/>
          <w:szCs w:val="24"/>
          <w:rtl w:val="0"/>
        </w:rPr>
        <w:t xml:space="preserve">In CBCT, an artifact represents an entity visualized in a reconstructed image that does not correspond to the actual subject or object being imaged. The generation of these artifacts can be attributed to several factors, such as limited scan geometry, reconstruction algorithms such as Feldkamp back-projection,  and discrete data sampling. These artifacts are more pronounced in the peripheral regions and in the presence of  high density materials such as dental implants. Common artifacts observed in CBCT include Extinction artifacts, Beam Hardening artifact, Partial Volume Averaging artifact(PVA), Aliasing, Ring artifacts and Motion artifacts.</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thes</w:t>
      </w:r>
      <w:r w:rsidDel="00000000" w:rsidR="00000000" w:rsidRPr="00000000">
        <w:rPr>
          <w:rFonts w:ascii="Times New Roman" w:cs="Times New Roman" w:eastAsia="Times New Roman" w:hAnsi="Times New Roman"/>
          <w:sz w:val="24"/>
          <w:szCs w:val="24"/>
          <w:rtl w:val="0"/>
        </w:rPr>
        <w:t xml:space="preserve">e, photon starvation and beam hardening artifacts are most commonly associated with metallic structures such as dental implants.</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Implants are typically made from materials such as titanium or ceramic, both of which exhibit high attenuation properties and can generate metal artifacts.</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This attenuation behavior can be described by the beer-lambert law: </w:t>
      </w:r>
    </w:p>
    <w:p w:rsidR="00000000" w:rsidDel="00000000" w:rsidP="00000000" w:rsidRDefault="00000000" w:rsidRPr="00000000" w14:paraId="000000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r w:rsidDel="00000000" w:rsidR="00000000" w:rsidRPr="00000000">
        <w:rPr>
          <w:rFonts w:ascii="Times New Roman" w:cs="Times New Roman" w:eastAsia="Times New Roman" w:hAnsi="Times New Roman"/>
          <w:sz w:val="24"/>
          <w:szCs w:val="24"/>
          <w:vertAlign w:val="subscript"/>
          <w:rtl w:val="0"/>
        </w:rPr>
        <w:t xml:space="preserve">0​e</w:t>
      </w:r>
      <w:r w:rsidDel="00000000" w:rsidR="00000000" w:rsidRPr="00000000">
        <w:rPr>
          <w:rFonts w:ascii="Gungsuh" w:cs="Gungsuh" w:eastAsia="Gungsuh" w:hAnsi="Gungsuh"/>
          <w:sz w:val="24"/>
          <w:szCs w:val="24"/>
          <w:rtl w:val="0"/>
        </w:rPr>
        <w:t xml:space="preserve">−μx </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is the transmitted intensity, I</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is the incident intensity, μ\mu is the linear attenuation coefficient, and x is the thickness of the material). </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CBCT utilizes a polychromatic x-ray beam, attenuation is energy-dependent. In such cases equation is represented as: </w:t>
      </w:r>
    </w:p>
    <w:p w:rsidR="00000000" w:rsidDel="00000000" w:rsidP="00000000" w:rsidRDefault="00000000" w:rsidRPr="00000000" w14:paraId="00000025">
      <w:pPr>
        <w:spacing w:line="36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I=∫S(E)e</w:t>
      </w:r>
      <w:r w:rsidDel="00000000" w:rsidR="00000000" w:rsidRPr="00000000">
        <w:rPr>
          <w:rFonts w:ascii="Gungsuh" w:cs="Gungsuh" w:eastAsia="Gungsuh" w:hAnsi="Gungsuh"/>
          <w:sz w:val="24"/>
          <w:szCs w:val="24"/>
          <w:vertAlign w:val="superscript"/>
          <w:rtl w:val="0"/>
        </w:rPr>
        <w:t xml:space="preserve">−μ(E)x</w:t>
      </w:r>
      <w:r w:rsidDel="00000000" w:rsidR="00000000" w:rsidRPr="00000000">
        <w:rPr>
          <w:rFonts w:ascii="Times New Roman" w:cs="Times New Roman" w:eastAsia="Times New Roman" w:hAnsi="Times New Roman"/>
          <w:sz w:val="24"/>
          <w:szCs w:val="24"/>
          <w:rtl w:val="0"/>
        </w:rPr>
        <w:t xml:space="preserve">dE </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represents the energy spectrum of the x-ray beam. Lower-energy photons are preferentially absorbed as the beam passes through metallic structures , resulting in an increase in the mean beam energy, a phenomenon known as beam hardening. This leads to characteristic dark bands and streak artifacts adjacent to implants and contributes to non-linear distortion of gray values. </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high density materials such as dental implants, the attenuation coefficient is significantly elevated, resulting in substantial reduction in photon intensity reaching the detector. When this attenuation becomes sufficiently high, it may lead to photon starvation, characterized by insufficient photon detection and increased image noise. In extreme cases, this can result in near-complete signal loss (extinction), leading to pronounced streak artifacts and further degradation of image quality. </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In addition,</w:t>
      </w:r>
      <w:r w:rsidDel="00000000" w:rsidR="00000000" w:rsidRPr="00000000">
        <w:rPr>
          <w:rFonts w:ascii="Times New Roman" w:cs="Times New Roman" w:eastAsia="Times New Roman" w:hAnsi="Times New Roman"/>
          <w:sz w:val="24"/>
          <w:szCs w:val="24"/>
          <w:rtl w:val="0"/>
        </w:rPr>
        <w:t xml:space="preserve"> deflection and scatter of photons during image acquisition contributes to further image degradation and can be represented as the sum of primary and scattered photons detected at the sensor. Scatter reduces contrast resolution, making it difficult to distinguish between tissues of varying densities and thereby limiting visualization of adjacent anatomical structures and affecting diagnostic confidence.</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Several approaches have been explored to reduce metal artifacts in CBCT imaging. Software-based correction techniques, such as Normalized Metal Artifact Reduction (NMAR), have shown some success in reducing scatter.</w:t>
      </w:r>
      <w:r w:rsidDel="00000000" w:rsidR="00000000" w:rsidRPr="00000000">
        <w:rPr>
          <w:rFonts w:ascii="Times New Roman" w:cs="Times New Roman" w:eastAsia="Times New Roman" w:hAnsi="Times New Roman"/>
          <w:sz w:val="24"/>
          <w:szCs w:val="24"/>
          <w:vertAlign w:val="superscript"/>
          <w:rtl w:val="0"/>
        </w:rPr>
        <w:t xml:space="preserve">(Gong)</w:t>
      </w:r>
      <w:r w:rsidDel="00000000" w:rsidR="00000000" w:rsidRPr="00000000">
        <w:rPr>
          <w:rFonts w:ascii="Times New Roman" w:cs="Times New Roman" w:eastAsia="Times New Roman" w:hAnsi="Times New Roman"/>
          <w:sz w:val="24"/>
          <w:szCs w:val="24"/>
          <w:rtl w:val="0"/>
        </w:rPr>
        <w:t xml:space="preserve"> However, these methods have limitations, particularly in accurately visualizing regions at the metal–tissue interface.</w:t>
      </w:r>
      <w:r w:rsidDel="00000000" w:rsidR="00000000" w:rsidRPr="00000000">
        <w:rPr>
          <w:rFonts w:ascii="Times New Roman" w:cs="Times New Roman" w:eastAsia="Times New Roman" w:hAnsi="Times New Roman"/>
          <w:sz w:val="24"/>
          <w:szCs w:val="24"/>
          <w:vertAlign w:val="superscript"/>
          <w:rtl w:val="0"/>
        </w:rPr>
        <w:t xml:space="preserve">(Tadinada)</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sz w:val="24"/>
          <w:szCs w:val="24"/>
        </w:rPr>
      </w:pPr>
      <w:bookmarkStart w:colFirst="0" w:colLast="0" w:name="_fmtmu9e2dusc" w:id="0"/>
      <w:bookmarkEnd w:id="0"/>
      <w:r w:rsidDel="00000000" w:rsidR="00000000" w:rsidRPr="00000000">
        <w:rPr>
          <w:rFonts w:ascii="Times New Roman" w:cs="Times New Roman" w:eastAsia="Times New Roman" w:hAnsi="Times New Roman"/>
          <w:sz w:val="24"/>
          <w:szCs w:val="24"/>
          <w:rtl w:val="0"/>
        </w:rPr>
        <w:t xml:space="preserve">Given these limitations, alternative approaches to modifying the imaging environment have been considered. One such approach involves the use of materials placed around metallic structures to potentially influence photon interaction and scatter. Alginate impression material, commonly used in dental practice, may act as a medium that alters photon attenuation and reduces air gaps around implants.</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sz w:val="24"/>
          <w:szCs w:val="24"/>
        </w:rPr>
      </w:pPr>
      <w:r>
        <w:t>Study hypothesis: The null hypothesis is that matched alginate and no-alginate scans have the same peri-implant gray-value distribution. The research hypothesis is that the distributions differ. Direction and magnitude will be estimated rather than presupposed; gray-value differences will not be interpreted as direct proof of artifact reduction or worsening.</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sz w:val="24"/>
          <w:szCs w:val="24"/>
        </w:rPr>
      </w:pPr>
      <w:bookmarkStart w:colFirst="0" w:colLast="0" w:name="_me8ik6ppxkgk" w:id="1"/>
      <w:bookmarkEnd w:id="1"/>
      <w:r w:rsidDel="00000000" w:rsidR="00000000" w:rsidRPr="00000000">
        <w:rPr>
          <w:rtl w:val="0"/>
        </w:rPr>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bookmarkStart w:colFirst="0" w:colLast="0" w:name="_tc7tzo80jtt6" w:id="2"/>
      <w:bookmarkEnd w:id="2"/>
      <w:r w:rsidDel="00000000" w:rsidR="00000000" w:rsidRPr="00000000">
        <w:rPr>
          <w:rFonts w:ascii="Times New Roman" w:cs="Times New Roman" w:eastAsia="Times New Roman" w:hAnsi="Times New Roman"/>
          <w:sz w:val="24"/>
          <w:szCs w:val="24"/>
          <w:rtl w:val="0"/>
        </w:rPr>
        <w:t xml:space="preserve">In extreme cases, this may result in near-complete signal loss (extinction), leading to pronounced streak artifacts and increased image noise. </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4"/>
          <w:szCs w:val="24"/>
        </w:rPr>
      </w:pPr>
      <w:bookmarkStart w:colFirst="0" w:colLast="0" w:name="_24d2mbi32kn1" w:id="3"/>
      <w:bookmarkEnd w:id="3"/>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31">
      <w:pPr>
        <w:numPr>
          <w:ilvl w:val="0"/>
          <w:numId w:val="1"/>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Arial" w:cs="Arial" w:eastAsia="Arial" w:hAnsi="Arial"/>
          <w:sz w:val="20"/>
          <w:szCs w:val="20"/>
          <w:highlight w:val="white"/>
          <w:rtl w:val="0"/>
        </w:rPr>
        <w:t xml:space="preserve">Rios HF, Borgnakke WS, Benavides E. The use of cone‐beam computed tomography in management of patients requiring dental implants: an American Academy of Periodontology best evidence review. Journal of periodontology. 2017 Oct;88(10):946-59).</w:t>
      </w:r>
    </w:p>
    <w:p w:rsidR="00000000" w:rsidDel="00000000" w:rsidP="00000000" w:rsidRDefault="00000000" w:rsidRPr="00000000" w14:paraId="00000032">
      <w:pPr>
        <w:numPr>
          <w:ilvl w:val="0"/>
          <w:numId w:val="1"/>
        </w:numPr>
        <w:spacing w:line="360" w:lineRule="auto"/>
        <w:ind w:left="720" w:hanging="360"/>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Schulze R, Heil U, Groβ D, Bruellmann DD, Dranischnikow E, Schwanecke U, Schoemer E. Artefacts in CBCT: a review. Dentomaxillofacial Radiology. 2011 Jul 1;40(5):265-73.</w:t>
      </w:r>
    </w:p>
    <w:p w:rsidR="00000000" w:rsidDel="00000000" w:rsidP="00000000" w:rsidRDefault="00000000" w:rsidRPr="00000000" w14:paraId="00000033">
      <w:pPr>
        <w:numPr>
          <w:ilvl w:val="0"/>
          <w:numId w:val="1"/>
        </w:numPr>
        <w:spacing w:line="360" w:lineRule="auto"/>
        <w:ind w:left="720" w:hanging="360"/>
        <w:jc w:val="both"/>
        <w:rPr>
          <w:rFonts w:ascii="Arial" w:cs="Arial" w:eastAsia="Arial" w:hAnsi="Arial"/>
          <w:sz w:val="20"/>
          <w:szCs w:val="20"/>
          <w:highlight w:val="white"/>
          <w:u w:val="none"/>
        </w:rPr>
      </w:pPr>
      <w:r w:rsidDel="00000000" w:rsidR="00000000" w:rsidRPr="00000000">
        <w:rPr>
          <w:rFonts w:ascii="Arial" w:cs="Arial" w:eastAsia="Arial" w:hAnsi="Arial"/>
          <w:sz w:val="20"/>
          <w:szCs w:val="20"/>
          <w:highlight w:val="white"/>
          <w:rtl w:val="0"/>
        </w:rPr>
        <w:t xml:space="preserve">Zhu L, Chen Y, Yang J, Tao X, Xi Y. Evaluation of the dental spectral cone beam CT for metal artefact reduction. Dentomaxillofac Radiol. 2019;48(2):20180044. doi:10.1259/dmfr.20180044</w:t>
      </w:r>
    </w:p>
    <w:p w:rsidR="00000000" w:rsidDel="00000000" w:rsidP="00000000" w:rsidRDefault="00000000" w:rsidRPr="00000000" w14:paraId="00000034">
      <w:pPr>
        <w:numPr>
          <w:ilvl w:val="0"/>
          <w:numId w:val="1"/>
        </w:numPr>
        <w:spacing w:line="360" w:lineRule="auto"/>
        <w:ind w:left="720" w:hanging="360"/>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Warren EK, Vaddi A, Tadinada A. A comparative evaluation of the metallic artifact generated by a ceramic dental implant and a titanium dental implant imaged on cone-beam computed tomographic scans: an ex vivo study. JADA Foundational Science. 2022 Jan 1;1:100007.</w:t>
      </w:r>
      <w:r w:rsidDel="00000000" w:rsidR="00000000" w:rsidRPr="00000000">
        <w:rPr>
          <w:rtl w:val="0"/>
        </w:rPr>
      </w:r>
    </w:p>
    <w:p w:rsidR="00000000" w:rsidDel="00000000" w:rsidP="00000000" w:rsidRDefault="00000000" w:rsidRPr="00000000" w14:paraId="00000035">
      <w:pPr>
        <w:numPr>
          <w:ilvl w:val="0"/>
          <w:numId w:val="1"/>
        </w:numPr>
        <w:spacing w:line="360" w:lineRule="auto"/>
        <w:ind w:left="720" w:hanging="360"/>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Gong XY, Meyer E, Yu XJ, et al. Clinical evaluation of the normalized metal artefact reduction algorithm caused by dental fillings in CT. Dentomaxillofac Radiol. 2013;42(4):20120105. doi:10.1259/dmfr.20120105</w:t>
      </w:r>
    </w:p>
    <w:p w:rsidR="00000000" w:rsidDel="00000000" w:rsidP="00000000" w:rsidRDefault="00000000" w:rsidRPr="00000000" w14:paraId="00000036">
      <w:pPr>
        <w:numPr>
          <w:ilvl w:val="0"/>
          <w:numId w:val="1"/>
        </w:numPr>
        <w:spacing w:line="360" w:lineRule="auto"/>
        <w:ind w:left="720" w:hanging="360"/>
        <w:jc w:val="both"/>
        <w:rPr>
          <w:rFonts w:ascii="Arial" w:cs="Arial" w:eastAsia="Arial" w:hAnsi="Arial"/>
          <w:sz w:val="20"/>
          <w:szCs w:val="20"/>
          <w:highlight w:val="white"/>
          <w:u w:val="none"/>
        </w:rPr>
      </w:pPr>
      <w:r w:rsidDel="00000000" w:rsidR="00000000" w:rsidRPr="00000000">
        <w:rPr>
          <w:rFonts w:ascii="Arial" w:cs="Arial" w:eastAsia="Arial" w:hAnsi="Arial"/>
          <w:sz w:val="20"/>
          <w:szCs w:val="20"/>
          <w:highlight w:val="white"/>
          <w:rtl w:val="0"/>
        </w:rPr>
        <w:t xml:space="preserve">Tadinada A, Jalali E, Jadhav A, Schincaglia GP, Yadav S. Artifacts in Cone Beam Computed Tomography Image Volumes: An Illustrative Depiction. J Mass Dent Soc. 2015;64(1):12-15.</w:t>
      </w:r>
    </w:p>
    <w:p w:rsidR="00000000" w:rsidDel="00000000" w:rsidP="00000000" w:rsidRDefault="00000000" w:rsidRPr="00000000" w14:paraId="0000003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Materials and methods</w:t>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ex-vivo experiment was conducted using dry human skulls obtained from the Education Support Services (Anatomy Laboratory) at the University of Connecticut School of Dental Medicine. Metallic objects such as screws and pins remaining in the skulls were removed prior to implant placement. Three conventional titanium dental implants (Straumann® Ø 4.1 mm, 8.0 mm, Ti) were used in this study. A small piece of utility wax (Kulzer, LLC, Utility Wax Strips, Large White) was used to affix the metal implants into edentulous sites in the anterior and posterior maxilla and mandible.</w:t>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total of 10 CBCT scans were performed using the standard 360° protocol. One scan was acquired without implants to serve as a control. The remaining nine CBCT scans were obtained with different combinations of titanium implants, with and without alginate impressions (Table 1).</w:t>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Alginate impressions were taken using COE disposable spacer impression trays (GC America Inc., Alsip, Illinois, USA; size 1D large upper and lower trays) and Jeltrate alginate impression material (Dentsply Sirona Inc., Charlotte, North Carolina, USA). To make the impression, three scoops of alginate powder were mixed with three parts of water in a rubber mixing bowl. A metal spatula was used to mix and load the material into the trays. Upper and lower alginate impressions were created following the same protocol. Once the alginate had set, a CBCT scan was acquired </w:t>
      </w:r>
      <w:r w:rsidDel="00000000" w:rsidR="00000000" w:rsidRPr="00000000">
        <w:rPr>
          <w:rFonts w:ascii="Times New Roman" w:cs="Times New Roman" w:eastAsia="Times New Roman" w:hAnsi="Times New Roman"/>
          <w:color w:val="0000ff"/>
          <w:sz w:val="24"/>
          <w:szCs w:val="24"/>
          <w:rtl w:val="0"/>
        </w:rPr>
        <w:t xml:space="preserve">(Figures)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 acquisition:</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CBCT images were acquired using a 3D Accuitomo™ CBCT scanner (J. Morita Corp., Kyoto, Japan). The field of view was 80 × 80 mm, with a voxel size of 0.125 mm. Exposure parameters included 90 kV, 10 mA, and an exposure time of 17.5 seconds, using the standard 360° acquisition protocol. Scans were performed both with and without alginate impressions. In all scans involving impressions, the alginate was seated in the tray. For one control scan, the impression tray was removed prior to image acquisition. The various scan combinations are summarized in Table 1.</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 Analysis</w:t>
      </w:r>
    </w:p>
    <w:p w:rsidR="00000000" w:rsidDel="00000000" w:rsidP="00000000" w:rsidRDefault="00000000" w:rsidRPr="00000000" w14:paraId="0000004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Prior to the commencement of the study, a calibration session was conducted by a board-certified oral and maxillofacial radiologist (AT). The research methodology and scoring parameters were established. A qualitative assessment of the scans was performed by two board-certified radiologists.</w:t>
      </w: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Qualitative Assessment</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Scans were evaluated qualitatively to assess diagnostic image quality using a modified Likert scale. Images were reviewed on an image viewing workstation powered by an HP Pavilion ZE2000 computer connected to a 20-inch dual monitor display with a 1600 × 900-pixel resolution. Viewing conditions, including ambient lighting and monitor settings, were standardized. Examiners were permitted to manipulate brightness, contrast, and magnification to simulate routine radiological interpretation.</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Scoring criteria:</w:t>
      </w: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No scatter artifact</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Scatter is minimal and does not affect image quality or diagnostic interpretation</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Scatter artifact is present and affects overall image quality, but does not interfere with evaluation of adjacent anatomy or diagnosis</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Scatter artifact is significant, degrades overall image quality, and obscures adjacent anatomical structures</w:t>
      </w:r>
    </w:p>
    <w:p w:rsidR="00000000" w:rsidDel="00000000" w:rsidP="00000000" w:rsidRDefault="00000000" w:rsidRPr="00000000" w14:paraId="0000005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Quantitative assessment : </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quantitative assessment was performed using MATLAB. A titanium implant with a slit was used, and a horizontal navigation line was placed at the bottom of the slit while a vertical line was centered. To ensure standardization, we used the same area in all scans. The slice coordinates were chosen to represent the center of the implant. In the corresponding axial slice, we used the software to select 8 points around the implant at three different radii: 0.5 mm, 1 mm, and 2 mm</w:t>
      </w:r>
    </w:p>
    <w:p w:rsidR="00000000" w:rsidDel="00000000" w:rsidP="00000000" w:rsidRDefault="00000000" w:rsidRPr="00000000" w14:paraId="0000005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Statistics: </w:t>
      </w:r>
    </w:p>
    <w:p w:rsidR="00000000" w:rsidDel="00000000" w:rsidP="00000000" w:rsidRDefault="00000000" w:rsidRPr="00000000" w14:paraId="0000005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5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05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tbl>
      <w:tblPr>
        <w:tblStyle w:val="Table1"/>
        <w:tblW w:w="8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0"/>
        <w:gridCol w:w="1470"/>
        <w:gridCol w:w="1290"/>
        <w:tblGridChange w:id="0">
          <w:tblGrid>
            <w:gridCol w:w="5550"/>
            <w:gridCol w:w="1470"/>
            <w:gridCol w:w="1290"/>
          </w:tblGrid>
        </w:tblGridChange>
      </w:tblGrid>
      <w:tr>
        <w:trPr>
          <w:cantSplit w:val="0"/>
          <w:trHeight w:val="1321.60791015625" w:hRule="atLeast"/>
          <w:tblHeader w:val="0"/>
        </w:trPr>
        <w:tc>
          <w:tcPr/>
          <w:p w:rsidR="00000000" w:rsidDel="00000000" w:rsidP="00000000" w:rsidRDefault="00000000" w:rsidRPr="00000000" w14:paraId="0000007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Scan ID</w:t>
            </w:r>
          </w:p>
        </w:tc>
        <w:tc>
          <w:tcPr/>
          <w:p w:rsidR="00000000" w:rsidDel="00000000" w:rsidP="00000000" w:rsidRDefault="00000000" w:rsidRPr="00000000" w14:paraId="0000007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Alginate Presence</w:t>
            </w:r>
          </w:p>
        </w:tc>
        <w:tc>
          <w:tcPr/>
          <w:p w:rsidR="00000000" w:rsidDel="00000000" w:rsidP="00000000" w:rsidRDefault="00000000" w:rsidRPr="00000000" w14:paraId="0000007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Mean PIV</w:t>
            </w:r>
          </w:p>
        </w:tc>
      </w:tr>
      <w:tr>
        <w:trPr>
          <w:cantSplit w:val="0"/>
          <w:tblHeader w:val="0"/>
        </w:trPr>
        <w:tc>
          <w:tcPr/>
          <w:p w:rsidR="00000000" w:rsidDel="00000000" w:rsidP="00000000" w:rsidRDefault="00000000" w:rsidRPr="00000000" w14:paraId="0000007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Scan A (Control - No Implant)</w:t>
            </w:r>
          </w:p>
        </w:tc>
        <w:tc>
          <w:tcPr/>
          <w:p w:rsidR="00000000" w:rsidDel="00000000" w:rsidP="00000000" w:rsidRDefault="00000000" w:rsidRPr="00000000" w14:paraId="0000007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No</w:t>
            </w:r>
          </w:p>
        </w:tc>
        <w:tc>
          <w:tcPr/>
          <w:p w:rsidR="00000000" w:rsidDel="00000000" w:rsidP="00000000" w:rsidRDefault="00000000" w:rsidRPr="00000000" w14:paraId="0000007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123.05</w:t>
            </w:r>
          </w:p>
        </w:tc>
      </w:tr>
      <w:tr>
        <w:trPr>
          <w:cantSplit w:val="0"/>
          <w:tblHeader w:val="0"/>
        </w:trPr>
        <w:tc>
          <w:tcPr/>
          <w:p w:rsidR="00000000" w:rsidDel="00000000" w:rsidP="00000000" w:rsidRDefault="00000000" w:rsidRPr="00000000" w14:paraId="0000007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Scan B (Implant in Posterior Mandible)</w:t>
            </w:r>
          </w:p>
        </w:tc>
        <w:tc>
          <w:tcPr/>
          <w:p w:rsidR="00000000" w:rsidDel="00000000" w:rsidP="00000000" w:rsidRDefault="00000000" w:rsidRPr="00000000" w14:paraId="0000007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No</w:t>
            </w:r>
          </w:p>
        </w:tc>
        <w:tc>
          <w:tcPr/>
          <w:p w:rsidR="00000000" w:rsidDel="00000000" w:rsidP="00000000" w:rsidRDefault="00000000" w:rsidRPr="00000000" w14:paraId="0000007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395.84</w:t>
            </w:r>
          </w:p>
        </w:tc>
      </w:tr>
      <w:tr>
        <w:trPr>
          <w:cantSplit w:val="0"/>
          <w:tblHeader w:val="0"/>
        </w:trPr>
        <w:tc>
          <w:tcPr/>
          <w:p w:rsidR="00000000" w:rsidDel="00000000" w:rsidP="00000000" w:rsidRDefault="00000000" w:rsidRPr="00000000" w14:paraId="0000007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Scan C (Implant in Posterior Mandible)</w:t>
            </w:r>
          </w:p>
        </w:tc>
        <w:tc>
          <w:tcPr/>
          <w:p w:rsidR="00000000" w:rsidDel="00000000" w:rsidP="00000000" w:rsidRDefault="00000000" w:rsidRPr="00000000" w14:paraId="0000007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Yes</w:t>
            </w:r>
          </w:p>
        </w:tc>
        <w:tc>
          <w:tcPr/>
          <w:p w:rsidR="00000000" w:rsidDel="00000000" w:rsidP="00000000" w:rsidRDefault="00000000" w:rsidRPr="00000000" w14:paraId="0000007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534.36</w:t>
            </w:r>
          </w:p>
        </w:tc>
      </w:tr>
      <w:tr>
        <w:trPr>
          <w:cantSplit w:val="0"/>
          <w:tblHeader w:val="0"/>
        </w:trPr>
        <w:tc>
          <w:tcPr/>
          <w:p w:rsidR="00000000" w:rsidDel="00000000" w:rsidP="00000000" w:rsidRDefault="00000000" w:rsidRPr="00000000" w14:paraId="0000007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Scan D (Implant in Posterior Mandible; Alginate Tray Removed)</w:t>
            </w:r>
          </w:p>
        </w:tc>
        <w:tc>
          <w:tcPr/>
          <w:p w:rsidR="00000000" w:rsidDel="00000000" w:rsidP="00000000" w:rsidRDefault="00000000" w:rsidRPr="00000000" w14:paraId="0000007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Yes</w:t>
            </w:r>
          </w:p>
        </w:tc>
        <w:tc>
          <w:tcPr/>
          <w:p w:rsidR="00000000" w:rsidDel="00000000" w:rsidP="00000000" w:rsidRDefault="00000000" w:rsidRPr="00000000" w14:paraId="0000007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589.17</w:t>
            </w:r>
          </w:p>
        </w:tc>
      </w:tr>
      <w:tr>
        <w:trPr>
          <w:cantSplit w:val="0"/>
          <w:tblHeader w:val="0"/>
        </w:trPr>
        <w:tc>
          <w:tcPr/>
          <w:p w:rsidR="00000000" w:rsidDel="00000000" w:rsidP="00000000" w:rsidRDefault="00000000" w:rsidRPr="00000000" w14:paraId="0000007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Scan E (2 Implants in Mandibular &amp; Maxillary Posterior, Same Side)</w:t>
            </w:r>
          </w:p>
        </w:tc>
        <w:tc>
          <w:tcPr/>
          <w:p w:rsidR="00000000" w:rsidDel="00000000" w:rsidP="00000000" w:rsidRDefault="00000000" w:rsidRPr="00000000" w14:paraId="0000008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No</w:t>
            </w:r>
          </w:p>
        </w:tc>
        <w:tc>
          <w:tcPr/>
          <w:p w:rsidR="00000000" w:rsidDel="00000000" w:rsidP="00000000" w:rsidRDefault="00000000" w:rsidRPr="00000000" w14:paraId="0000008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261.09</w:t>
            </w:r>
          </w:p>
        </w:tc>
      </w:tr>
      <w:tr>
        <w:trPr>
          <w:cantSplit w:val="0"/>
          <w:tblHeader w:val="0"/>
        </w:trPr>
        <w:tc>
          <w:tcPr/>
          <w:p w:rsidR="00000000" w:rsidDel="00000000" w:rsidP="00000000" w:rsidRDefault="00000000" w:rsidRPr="00000000" w14:paraId="0000008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Scan F (2 Implants in Mandibular &amp; Maxillary Posterior, Same Side)</w:t>
            </w:r>
          </w:p>
        </w:tc>
        <w:tc>
          <w:tcPr/>
          <w:p w:rsidR="00000000" w:rsidDel="00000000" w:rsidP="00000000" w:rsidRDefault="00000000" w:rsidRPr="00000000" w14:paraId="0000008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Yes</w:t>
            </w:r>
          </w:p>
        </w:tc>
        <w:tc>
          <w:tcPr/>
          <w:p w:rsidR="00000000" w:rsidDel="00000000" w:rsidP="00000000" w:rsidRDefault="00000000" w:rsidRPr="00000000" w14:paraId="0000008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632.21</w:t>
            </w:r>
          </w:p>
        </w:tc>
      </w:tr>
      <w:tr>
        <w:trPr>
          <w:cantSplit w:val="0"/>
          <w:tblHeader w:val="0"/>
        </w:trPr>
        <w:tc>
          <w:tcPr/>
          <w:p w:rsidR="00000000" w:rsidDel="00000000" w:rsidP="00000000" w:rsidRDefault="00000000" w:rsidRPr="00000000" w14:paraId="0000008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Scan G (2 Implants in Mandibular Anterior &amp; Posterior Region)</w:t>
            </w:r>
          </w:p>
        </w:tc>
        <w:tc>
          <w:tcPr/>
          <w:p w:rsidR="00000000" w:rsidDel="00000000" w:rsidP="00000000" w:rsidRDefault="00000000" w:rsidRPr="00000000" w14:paraId="0000008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No</w:t>
            </w:r>
          </w:p>
        </w:tc>
        <w:tc>
          <w:tcPr/>
          <w:p w:rsidR="00000000" w:rsidDel="00000000" w:rsidP="00000000" w:rsidRDefault="00000000" w:rsidRPr="00000000" w14:paraId="0000008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465.33</w:t>
            </w:r>
          </w:p>
        </w:tc>
      </w:tr>
      <w:tr>
        <w:trPr>
          <w:cantSplit w:val="0"/>
          <w:tblHeader w:val="0"/>
        </w:trPr>
        <w:tc>
          <w:tcPr/>
          <w:p w:rsidR="00000000" w:rsidDel="00000000" w:rsidP="00000000" w:rsidRDefault="00000000" w:rsidRPr="00000000" w14:paraId="0000008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Scan H (2 Implants in Mandibular Anterior &amp; Posterior Region)</w:t>
            </w:r>
          </w:p>
        </w:tc>
        <w:tc>
          <w:tcPr/>
          <w:p w:rsidR="00000000" w:rsidDel="00000000" w:rsidP="00000000" w:rsidRDefault="00000000" w:rsidRPr="00000000" w14:paraId="0000008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Yes</w:t>
            </w:r>
          </w:p>
        </w:tc>
        <w:tc>
          <w:tcPr/>
          <w:p w:rsidR="00000000" w:rsidDel="00000000" w:rsidP="00000000" w:rsidRDefault="00000000" w:rsidRPr="00000000" w14:paraId="0000008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598.67</w:t>
            </w:r>
          </w:p>
        </w:tc>
      </w:tr>
      <w:tr>
        <w:trPr>
          <w:cantSplit w:val="0"/>
          <w:tblHeader w:val="0"/>
        </w:trPr>
        <w:tc>
          <w:tcPr/>
          <w:p w:rsidR="00000000" w:rsidDel="00000000" w:rsidP="00000000" w:rsidRDefault="00000000" w:rsidRPr="00000000" w14:paraId="0000008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Scan I (3 Implants in Mandibular Anterior, Posterior &amp; Maxillary Posterior)</w:t>
            </w:r>
          </w:p>
        </w:tc>
        <w:tc>
          <w:tcPr/>
          <w:p w:rsidR="00000000" w:rsidDel="00000000" w:rsidP="00000000" w:rsidRDefault="00000000" w:rsidRPr="00000000" w14:paraId="0000008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No</w:t>
            </w:r>
          </w:p>
        </w:tc>
        <w:tc>
          <w:tcPr/>
          <w:p w:rsidR="00000000" w:rsidDel="00000000" w:rsidP="00000000" w:rsidRDefault="00000000" w:rsidRPr="00000000" w14:paraId="0000008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372.97</w:t>
            </w:r>
          </w:p>
        </w:tc>
      </w:tr>
      <w:tr>
        <w:trPr>
          <w:cantSplit w:val="0"/>
          <w:tblHeader w:val="0"/>
        </w:trPr>
        <w:tc>
          <w:tcPr/>
          <w:p w:rsidR="00000000" w:rsidDel="00000000" w:rsidP="00000000" w:rsidRDefault="00000000" w:rsidRPr="00000000" w14:paraId="0000008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Scan J (3 Implants in Mandibular Anterior, Posterior &amp; Maxillary Posterior)</w:t>
            </w:r>
          </w:p>
        </w:tc>
        <w:tc>
          <w:tcPr/>
          <w:p w:rsidR="00000000" w:rsidDel="00000000" w:rsidP="00000000" w:rsidRDefault="00000000" w:rsidRPr="00000000" w14:paraId="0000008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Yes</w:t>
            </w:r>
          </w:p>
        </w:tc>
        <w:tc>
          <w:tcPr/>
          <w:p w:rsidR="00000000" w:rsidDel="00000000" w:rsidP="00000000" w:rsidRDefault="00000000" w:rsidRPr="00000000" w14:paraId="0000009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639.13</w:t>
            </w:r>
          </w:p>
        </w:tc>
      </w:tr>
    </w:tbl>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Tables:</w:t>
      </w:r>
    </w:p>
    <w:p w:rsidR="00000000" w:rsidDel="00000000" w:rsidP="00000000" w:rsidRDefault="00000000" w:rsidRPr="00000000" w14:paraId="00000093">
      <w:pPr>
        <w:jc w:val="both"/>
        <w:rPr>
          <w:sz w:val="24"/>
          <w:szCs w:val="24"/>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8"/>
        <w:gridCol w:w="1558"/>
        <w:gridCol w:w="1558"/>
        <w:gridCol w:w="1558"/>
        <w:gridCol w:w="1559"/>
        <w:gridCol w:w="1559"/>
        <w:tblGridChange w:id="0">
          <w:tblGrid>
            <w:gridCol w:w="1558"/>
            <w:gridCol w:w="1558"/>
            <w:gridCol w:w="1558"/>
            <w:gridCol w:w="1558"/>
            <w:gridCol w:w="1559"/>
            <w:gridCol w:w="1559"/>
          </w:tblGrid>
        </w:tblGridChange>
      </w:tblGrid>
      <w:tr>
        <w:trPr>
          <w:cantSplit w:val="0"/>
          <w:tblHeader w:val="0"/>
        </w:trPr>
        <w:tc>
          <w:tcPr>
            <w:gridSpan w:val="6"/>
          </w:tcPr>
          <w:p w:rsidR="00000000" w:rsidDel="00000000" w:rsidP="00000000" w:rsidRDefault="00000000" w:rsidRPr="00000000" w14:paraId="00000094">
            <w:pPr>
              <w:jc w:val="both"/>
              <w:rPr>
                <w:sz w:val="24"/>
                <w:szCs w:val="24"/>
              </w:rPr>
            </w:pPr>
            <w:r w:rsidDel="00000000" w:rsidR="00000000" w:rsidRPr="00000000">
              <w:rPr>
                <w:sz w:val="24"/>
                <w:szCs w:val="24"/>
                <w:rtl w:val="0"/>
              </w:rPr>
              <w:t xml:space="preserve">Comparison of all scans with Scan A (control scan) without implant</w:t>
            </w:r>
          </w:p>
        </w:tc>
      </w:tr>
      <w:tr>
        <w:trPr>
          <w:cantSplit w:val="0"/>
          <w:trHeight w:val="300" w:hRule="atLeast"/>
          <w:tblHeader w:val="0"/>
        </w:trPr>
        <w:tc>
          <w:tcPr/>
          <w:p w:rsidR="00000000" w:rsidDel="00000000" w:rsidP="00000000" w:rsidRDefault="00000000" w:rsidRPr="00000000" w14:paraId="0000009A">
            <w:pPr>
              <w:jc w:val="center"/>
              <w:rPr>
                <w:b w:val="1"/>
                <w:bCs w:val="1"/>
              </w:rPr>
            </w:pPr>
            <w:r w:rsidDel="00000000" w:rsidR="00000000" w:rsidRPr="00000000">
              <w:rPr>
                <w:b w:val="1"/>
                <w:bCs w:val="1"/>
                <w:rtl w:val="0"/>
              </w:rPr>
              <w:t xml:space="preserve">Comparison</w:t>
            </w:r>
          </w:p>
        </w:tc>
        <w:tc>
          <w:tcPr/>
          <w:p w:rsidR="00000000" w:rsidDel="00000000" w:rsidP="00000000" w:rsidRDefault="00000000" w:rsidRPr="00000000" w14:paraId="0000009B">
            <w:pPr>
              <w:jc w:val="center"/>
              <w:rPr>
                <w:b w:val="1"/>
                <w:bCs w:val="1"/>
              </w:rPr>
            </w:pPr>
            <w:r w:rsidDel="00000000" w:rsidR="00000000" w:rsidRPr="00000000">
              <w:rPr>
                <w:b w:val="1"/>
                <w:bCs w:val="1"/>
                <w:rtl w:val="0"/>
              </w:rPr>
              <w:t xml:space="preserve">Mean Pixel Intensity (Scan A vs X)</w:t>
            </w:r>
          </w:p>
        </w:tc>
        <w:tc>
          <w:tcPr/>
          <w:p w:rsidR="00000000" w:rsidDel="00000000" w:rsidP="00000000" w:rsidRDefault="00000000" w:rsidRPr="00000000" w14:paraId="0000009C">
            <w:pPr>
              <w:jc w:val="center"/>
              <w:rPr>
                <w:b w:val="1"/>
                <w:bCs w:val="1"/>
              </w:rPr>
            </w:pPr>
            <w:r w:rsidDel="00000000" w:rsidR="00000000" w:rsidRPr="00000000">
              <w:rPr>
                <w:b w:val="1"/>
                <w:bCs w:val="1"/>
                <w:rtl w:val="0"/>
              </w:rPr>
              <w:t xml:space="preserve">Mean Difference</w:t>
            </w:r>
          </w:p>
        </w:tc>
        <w:tc>
          <w:tcPr/>
          <w:p w:rsidR="00000000" w:rsidDel="00000000" w:rsidP="00000000" w:rsidRDefault="00000000" w:rsidRPr="00000000" w14:paraId="0000009D">
            <w:pPr>
              <w:jc w:val="center"/>
              <w:rPr>
                <w:b w:val="1"/>
                <w:bCs w:val="1"/>
              </w:rPr>
            </w:pPr>
            <w:r w:rsidDel="00000000" w:rsidR="00000000" w:rsidRPr="00000000">
              <w:rPr>
                <w:b w:val="1"/>
                <w:bCs w:val="1"/>
                <w:rtl w:val="0"/>
              </w:rPr>
              <w:t xml:space="preserve">p-value</w:t>
            </w:r>
          </w:p>
        </w:tc>
        <w:tc>
          <w:tcPr/>
          <w:p w:rsidR="00000000" w:rsidDel="00000000" w:rsidP="00000000" w:rsidRDefault="00000000" w:rsidRPr="00000000" w14:paraId="0000009E">
            <w:pPr>
              <w:jc w:val="center"/>
              <w:rPr>
                <w:b w:val="1"/>
                <w:bCs w:val="1"/>
              </w:rPr>
            </w:pPr>
            <w:r w:rsidDel="00000000" w:rsidR="00000000" w:rsidRPr="00000000">
              <w:rPr>
                <w:b w:val="1"/>
                <w:bCs w:val="1"/>
                <w:rtl w:val="0"/>
              </w:rPr>
              <w:t xml:space="preserve">Significance</w:t>
            </w:r>
          </w:p>
        </w:tc>
        <w:tc>
          <w:tcPr/>
          <w:p w:rsidR="00000000" w:rsidDel="00000000" w:rsidP="00000000" w:rsidRDefault="00000000" w:rsidRPr="00000000" w14:paraId="0000009F">
            <w:pPr>
              <w:jc w:val="center"/>
              <w:rPr>
                <w:b w:val="1"/>
                <w:bCs w:val="1"/>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A0">
            <w:pPr>
              <w:rPr/>
            </w:pPr>
            <w:r w:rsidDel="00000000" w:rsidR="00000000" w:rsidRPr="00000000">
              <w:rPr>
                <w:rtl w:val="0"/>
              </w:rPr>
              <w:t xml:space="preserve">Scan A (Control)</w:t>
            </w:r>
          </w:p>
        </w:tc>
        <w:tc>
          <w:tcPr/>
          <w:p w:rsidR="00000000" w:rsidDel="00000000" w:rsidP="00000000" w:rsidRDefault="00000000" w:rsidRPr="00000000" w14:paraId="000000A1">
            <w:pPr>
              <w:rPr/>
            </w:pPr>
            <w:r w:rsidDel="00000000" w:rsidR="00000000" w:rsidRPr="00000000">
              <w:rPr>
                <w:rtl w:val="0"/>
              </w:rPr>
              <w:t xml:space="preserve">123.05 vs —</w:t>
            </w:r>
          </w:p>
        </w:tc>
        <w:tc>
          <w:tcPr/>
          <w:p w:rsidR="00000000" w:rsidDel="00000000" w:rsidP="00000000" w:rsidRDefault="00000000" w:rsidRPr="00000000" w14:paraId="000000A2">
            <w:pPr>
              <w:rPr/>
            </w:pPr>
            <w:r w:rsidDel="00000000" w:rsidR="00000000" w:rsidRPr="00000000">
              <w:rPr>
                <w:rtl w:val="0"/>
              </w:rPr>
              <w:t xml:space="preserve">—</w:t>
            </w:r>
          </w:p>
        </w:tc>
        <w:tc>
          <w:tcPr/>
          <w:p w:rsidR="00000000" w:rsidDel="00000000" w:rsidP="00000000" w:rsidRDefault="00000000" w:rsidRPr="00000000" w14:paraId="000000A3">
            <w:pPr>
              <w:rPr/>
            </w:pPr>
            <w:r w:rsidDel="00000000" w:rsidR="00000000" w:rsidRPr="00000000">
              <w:rPr>
                <w:rtl w:val="0"/>
              </w:rPr>
              <w:t xml:space="preserve">—</w:t>
            </w:r>
          </w:p>
        </w:tc>
        <w:tc>
          <w:tcPr/>
          <w:p w:rsidR="00000000" w:rsidDel="00000000" w:rsidP="00000000" w:rsidRDefault="00000000" w:rsidRPr="00000000" w14:paraId="000000A4">
            <w:pPr>
              <w:rPr/>
            </w:pPr>
            <w:r w:rsidDel="00000000" w:rsidR="00000000" w:rsidRPr="00000000">
              <w:rPr>
                <w:rtl w:val="0"/>
              </w:rPr>
              <w:t xml:space="preserve">—</w:t>
            </w:r>
          </w:p>
        </w:tc>
        <w:tc>
          <w:tcPr/>
          <w:p w:rsidR="00000000" w:rsidDel="00000000" w:rsidP="00000000" w:rsidRDefault="00000000" w:rsidRPr="00000000" w14:paraId="000000A5">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A6">
            <w:pPr>
              <w:rPr>
                <w:color w:val="0070c0"/>
              </w:rPr>
            </w:pPr>
            <w:r w:rsidDel="00000000" w:rsidR="00000000" w:rsidRPr="00000000">
              <w:rPr>
                <w:color w:val="0070c0"/>
                <w:rtl w:val="0"/>
              </w:rPr>
              <w:t xml:space="preserve">Scan A vs </w:t>
            </w:r>
          </w:p>
          <w:p w:rsidR="00000000" w:rsidDel="00000000" w:rsidP="00000000" w:rsidRDefault="00000000" w:rsidRPr="00000000" w14:paraId="000000A7">
            <w:pPr>
              <w:rPr>
                <w:color w:val="0070c0"/>
              </w:rPr>
            </w:pPr>
            <w:r w:rsidDel="00000000" w:rsidR="00000000" w:rsidRPr="00000000">
              <w:rPr>
                <w:color w:val="0070c0"/>
                <w:rtl w:val="0"/>
              </w:rPr>
              <w:t xml:space="preserve">Scan C (Alginate)</w:t>
            </w:r>
          </w:p>
        </w:tc>
        <w:tc>
          <w:tcPr/>
          <w:p w:rsidR="00000000" w:rsidDel="00000000" w:rsidP="00000000" w:rsidRDefault="00000000" w:rsidRPr="00000000" w14:paraId="000000A8">
            <w:pPr>
              <w:rPr>
                <w:color w:val="0070c0"/>
              </w:rPr>
            </w:pPr>
            <w:r w:rsidDel="00000000" w:rsidR="00000000" w:rsidRPr="00000000">
              <w:rPr>
                <w:color w:val="0070c0"/>
                <w:rtl w:val="0"/>
              </w:rPr>
              <w:t xml:space="preserve">123.05 vs 534.36</w:t>
            </w:r>
          </w:p>
        </w:tc>
        <w:tc>
          <w:tcPr/>
          <w:p w:rsidR="00000000" w:rsidDel="00000000" w:rsidP="00000000" w:rsidRDefault="00000000" w:rsidRPr="00000000" w14:paraId="000000A9">
            <w:pPr>
              <w:rPr>
                <w:color w:val="0070c0"/>
              </w:rPr>
            </w:pPr>
            <w:r w:rsidDel="00000000" w:rsidR="00000000" w:rsidRPr="00000000">
              <w:rPr>
                <w:color w:val="0070c0"/>
                <w:rtl w:val="0"/>
              </w:rPr>
              <w:t xml:space="preserve">-411.31</w:t>
            </w:r>
          </w:p>
        </w:tc>
        <w:tc>
          <w:tcPr/>
          <w:p w:rsidR="00000000" w:rsidDel="00000000" w:rsidP="00000000" w:rsidRDefault="00000000" w:rsidRPr="00000000" w14:paraId="000000AA">
            <w:pPr>
              <w:rPr>
                <w:color w:val="0070c0"/>
              </w:rPr>
            </w:pPr>
            <w:r w:rsidDel="00000000" w:rsidR="00000000" w:rsidRPr="00000000">
              <w:rPr>
                <w:color w:val="0070c0"/>
                <w:rtl w:val="0"/>
              </w:rPr>
              <w:t xml:space="preserve">0.091</w:t>
            </w:r>
          </w:p>
        </w:tc>
        <w:tc>
          <w:tcPr/>
          <w:p w:rsidR="00000000" w:rsidDel="00000000" w:rsidP="00000000" w:rsidRDefault="00000000" w:rsidRPr="00000000" w14:paraId="000000AB">
            <w:pPr>
              <w:rPr>
                <w:color w:val="0070c0"/>
              </w:rPr>
            </w:pPr>
            <w:r w:rsidDel="00000000" w:rsidR="00000000" w:rsidRPr="00000000">
              <w:rPr>
                <w:color w:val="0070c0"/>
                <w:rtl w:val="0"/>
              </w:rPr>
              <w:t xml:space="preserve">Not significant</w:t>
            </w:r>
          </w:p>
        </w:tc>
        <w:tc>
          <w:tcPr/>
          <w:p w:rsidR="00000000" w:rsidDel="00000000" w:rsidP="00000000" w:rsidRDefault="00000000" w:rsidRPr="00000000" w14:paraId="000000AC">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AD">
            <w:pPr>
              <w:rPr>
                <w:color w:val="0070c0"/>
              </w:rPr>
            </w:pPr>
            <w:r w:rsidDel="00000000" w:rsidR="00000000" w:rsidRPr="00000000">
              <w:rPr>
                <w:color w:val="0070c0"/>
                <w:rtl w:val="0"/>
              </w:rPr>
              <w:t xml:space="preserve">Scan A vs </w:t>
            </w:r>
          </w:p>
          <w:p w:rsidR="00000000" w:rsidDel="00000000" w:rsidP="00000000" w:rsidRDefault="00000000" w:rsidRPr="00000000" w14:paraId="000000AE">
            <w:pPr>
              <w:rPr>
                <w:color w:val="0070c0"/>
              </w:rPr>
            </w:pPr>
            <w:r w:rsidDel="00000000" w:rsidR="00000000" w:rsidRPr="00000000">
              <w:rPr>
                <w:color w:val="0070c0"/>
                <w:rtl w:val="0"/>
              </w:rPr>
              <w:t xml:space="preserve">Scan D (Alginate)</w:t>
            </w:r>
          </w:p>
        </w:tc>
        <w:tc>
          <w:tcPr/>
          <w:p w:rsidR="00000000" w:rsidDel="00000000" w:rsidP="00000000" w:rsidRDefault="00000000" w:rsidRPr="00000000" w14:paraId="000000AF">
            <w:pPr>
              <w:rPr>
                <w:color w:val="0070c0"/>
              </w:rPr>
            </w:pPr>
            <w:r w:rsidDel="00000000" w:rsidR="00000000" w:rsidRPr="00000000">
              <w:rPr>
                <w:color w:val="0070c0"/>
                <w:rtl w:val="0"/>
              </w:rPr>
              <w:t xml:space="preserve">123.05 vs 589.17</w:t>
            </w:r>
          </w:p>
        </w:tc>
        <w:tc>
          <w:tcPr/>
          <w:p w:rsidR="00000000" w:rsidDel="00000000" w:rsidP="00000000" w:rsidRDefault="00000000" w:rsidRPr="00000000" w14:paraId="000000B0">
            <w:pPr>
              <w:rPr>
                <w:color w:val="0070c0"/>
              </w:rPr>
            </w:pPr>
            <w:r w:rsidDel="00000000" w:rsidR="00000000" w:rsidRPr="00000000">
              <w:rPr>
                <w:color w:val="0070c0"/>
                <w:rtl w:val="0"/>
              </w:rPr>
              <w:t xml:space="preserve">-466.12</w:t>
            </w:r>
          </w:p>
        </w:tc>
        <w:tc>
          <w:tcPr/>
          <w:p w:rsidR="00000000" w:rsidDel="00000000" w:rsidP="00000000" w:rsidRDefault="00000000" w:rsidRPr="00000000" w14:paraId="000000B1">
            <w:pPr>
              <w:rPr>
                <w:color w:val="0070c0"/>
              </w:rPr>
            </w:pPr>
            <w:r w:rsidDel="00000000" w:rsidR="00000000" w:rsidRPr="00000000">
              <w:rPr>
                <w:color w:val="0070c0"/>
                <w:rtl w:val="0"/>
              </w:rPr>
              <w:t xml:space="preserve">0.029</w:t>
            </w:r>
          </w:p>
        </w:tc>
        <w:tc>
          <w:tcPr/>
          <w:p w:rsidR="00000000" w:rsidDel="00000000" w:rsidP="00000000" w:rsidRDefault="00000000" w:rsidRPr="00000000" w14:paraId="000000B2">
            <w:pPr>
              <w:rPr>
                <w:color w:val="0070c0"/>
              </w:rPr>
            </w:pPr>
            <w:r w:rsidDel="00000000" w:rsidR="00000000" w:rsidRPr="00000000">
              <w:rPr>
                <w:color w:val="0070c0"/>
                <w:rtl w:val="0"/>
              </w:rPr>
              <w:t xml:space="preserve">Significant</w:t>
            </w:r>
          </w:p>
        </w:tc>
        <w:tc>
          <w:tcPr/>
          <w:p w:rsidR="00000000" w:rsidDel="00000000" w:rsidP="00000000" w:rsidRDefault="00000000" w:rsidRPr="00000000" w14:paraId="000000B3">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B4">
            <w:pPr>
              <w:rPr>
                <w:color w:val="0070c0"/>
              </w:rPr>
            </w:pPr>
            <w:r w:rsidDel="00000000" w:rsidR="00000000" w:rsidRPr="00000000">
              <w:rPr>
                <w:color w:val="0070c0"/>
                <w:rtl w:val="0"/>
              </w:rPr>
              <w:t xml:space="preserve">Scan A vs Scan F (Alginate)</w:t>
            </w:r>
          </w:p>
        </w:tc>
        <w:tc>
          <w:tcPr/>
          <w:p w:rsidR="00000000" w:rsidDel="00000000" w:rsidP="00000000" w:rsidRDefault="00000000" w:rsidRPr="00000000" w14:paraId="000000B5">
            <w:pPr>
              <w:rPr>
                <w:color w:val="0070c0"/>
              </w:rPr>
            </w:pPr>
            <w:r w:rsidDel="00000000" w:rsidR="00000000" w:rsidRPr="00000000">
              <w:rPr>
                <w:color w:val="0070c0"/>
                <w:rtl w:val="0"/>
              </w:rPr>
              <w:t xml:space="preserve">123.05 vs 632.21</w:t>
            </w:r>
          </w:p>
        </w:tc>
        <w:tc>
          <w:tcPr/>
          <w:p w:rsidR="00000000" w:rsidDel="00000000" w:rsidP="00000000" w:rsidRDefault="00000000" w:rsidRPr="00000000" w14:paraId="000000B6">
            <w:pPr>
              <w:rPr>
                <w:color w:val="0070c0"/>
              </w:rPr>
            </w:pPr>
            <w:r w:rsidDel="00000000" w:rsidR="00000000" w:rsidRPr="00000000">
              <w:rPr>
                <w:color w:val="0070c0"/>
                <w:rtl w:val="0"/>
              </w:rPr>
              <w:t xml:space="preserve">-509.16</w:t>
            </w:r>
          </w:p>
        </w:tc>
        <w:tc>
          <w:tcPr/>
          <w:p w:rsidR="00000000" w:rsidDel="00000000" w:rsidP="00000000" w:rsidRDefault="00000000" w:rsidRPr="00000000" w14:paraId="000000B7">
            <w:pPr>
              <w:rPr>
                <w:color w:val="0070c0"/>
              </w:rPr>
            </w:pPr>
            <w:r w:rsidDel="00000000" w:rsidR="00000000" w:rsidRPr="00000000">
              <w:rPr>
                <w:color w:val="0070c0"/>
                <w:rtl w:val="0"/>
              </w:rPr>
              <w:t xml:space="preserve">0.001</w:t>
            </w:r>
          </w:p>
        </w:tc>
        <w:tc>
          <w:tcPr/>
          <w:p w:rsidR="00000000" w:rsidDel="00000000" w:rsidP="00000000" w:rsidRDefault="00000000" w:rsidRPr="00000000" w14:paraId="000000B8">
            <w:pPr>
              <w:rPr>
                <w:color w:val="0070c0"/>
              </w:rPr>
            </w:pPr>
            <w:r w:rsidDel="00000000" w:rsidR="00000000" w:rsidRPr="00000000">
              <w:rPr>
                <w:color w:val="0070c0"/>
                <w:rtl w:val="0"/>
              </w:rPr>
              <w:t xml:space="preserve">Significant</w:t>
            </w:r>
          </w:p>
        </w:tc>
        <w:tc>
          <w:tcPr/>
          <w:p w:rsidR="00000000" w:rsidDel="00000000" w:rsidP="00000000" w:rsidRDefault="00000000" w:rsidRPr="00000000" w14:paraId="000000B9">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BA">
            <w:pPr>
              <w:rPr>
                <w:color w:val="0070c0"/>
              </w:rPr>
            </w:pPr>
            <w:r w:rsidDel="00000000" w:rsidR="00000000" w:rsidRPr="00000000">
              <w:rPr>
                <w:color w:val="0070c0"/>
                <w:rtl w:val="0"/>
              </w:rPr>
              <w:t xml:space="preserve">Scan A vs </w:t>
            </w:r>
          </w:p>
          <w:p w:rsidR="00000000" w:rsidDel="00000000" w:rsidP="00000000" w:rsidRDefault="00000000" w:rsidRPr="00000000" w14:paraId="000000BB">
            <w:pPr>
              <w:rPr/>
            </w:pPr>
            <w:r w:rsidDel="00000000" w:rsidR="00000000" w:rsidRPr="00000000">
              <w:rPr>
                <w:color w:val="0070c0"/>
                <w:rtl w:val="0"/>
              </w:rPr>
              <w:t xml:space="preserve">Scan H (Alginate)</w:t>
            </w:r>
            <w:r w:rsidDel="00000000" w:rsidR="00000000" w:rsidRPr="00000000">
              <w:rPr>
                <w:rtl w:val="0"/>
              </w:rPr>
            </w:r>
          </w:p>
        </w:tc>
        <w:tc>
          <w:tcPr/>
          <w:p w:rsidR="00000000" w:rsidDel="00000000" w:rsidP="00000000" w:rsidRDefault="00000000" w:rsidRPr="00000000" w14:paraId="000000BC">
            <w:pPr>
              <w:rPr/>
            </w:pPr>
            <w:r w:rsidDel="00000000" w:rsidR="00000000" w:rsidRPr="00000000">
              <w:rPr>
                <w:color w:val="0070c0"/>
                <w:rtl w:val="0"/>
              </w:rPr>
              <w:t xml:space="preserve">123.05 vs 598.67</w:t>
            </w:r>
            <w:r w:rsidDel="00000000" w:rsidR="00000000" w:rsidRPr="00000000">
              <w:rPr>
                <w:rtl w:val="0"/>
              </w:rPr>
            </w:r>
          </w:p>
        </w:tc>
        <w:tc>
          <w:tcPr/>
          <w:p w:rsidR="00000000" w:rsidDel="00000000" w:rsidP="00000000" w:rsidRDefault="00000000" w:rsidRPr="00000000" w14:paraId="000000BD">
            <w:pPr>
              <w:rPr/>
            </w:pPr>
            <w:r w:rsidDel="00000000" w:rsidR="00000000" w:rsidRPr="00000000">
              <w:rPr>
                <w:color w:val="0070c0"/>
                <w:rtl w:val="0"/>
              </w:rPr>
              <w:t xml:space="preserve">-475.62</w:t>
            </w:r>
            <w:r w:rsidDel="00000000" w:rsidR="00000000" w:rsidRPr="00000000">
              <w:rPr>
                <w:rtl w:val="0"/>
              </w:rPr>
            </w:r>
          </w:p>
        </w:tc>
        <w:tc>
          <w:tcPr/>
          <w:p w:rsidR="00000000" w:rsidDel="00000000" w:rsidP="00000000" w:rsidRDefault="00000000" w:rsidRPr="00000000" w14:paraId="000000BE">
            <w:pPr>
              <w:rPr/>
            </w:pPr>
            <w:r w:rsidDel="00000000" w:rsidR="00000000" w:rsidRPr="00000000">
              <w:rPr>
                <w:color w:val="0070c0"/>
                <w:rtl w:val="0"/>
              </w:rPr>
              <w:t xml:space="preserve">0.003</w:t>
            </w:r>
            <w:r w:rsidDel="00000000" w:rsidR="00000000" w:rsidRPr="00000000">
              <w:rPr>
                <w:rtl w:val="0"/>
              </w:rPr>
            </w:r>
          </w:p>
        </w:tc>
        <w:tc>
          <w:tcPr/>
          <w:p w:rsidR="00000000" w:rsidDel="00000000" w:rsidP="00000000" w:rsidRDefault="00000000" w:rsidRPr="00000000" w14:paraId="000000BF">
            <w:pPr>
              <w:rPr/>
            </w:pPr>
            <w:r w:rsidDel="00000000" w:rsidR="00000000" w:rsidRPr="00000000">
              <w:rPr>
                <w:color w:val="0070c0"/>
                <w:rtl w:val="0"/>
              </w:rPr>
              <w:t xml:space="preserve">Significant</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C1">
            <w:pPr>
              <w:rPr>
                <w:color w:val="0070c0"/>
              </w:rPr>
            </w:pPr>
            <w:r w:rsidDel="00000000" w:rsidR="00000000" w:rsidRPr="00000000">
              <w:rPr>
                <w:color w:val="0070c0"/>
                <w:rtl w:val="0"/>
              </w:rPr>
              <w:t xml:space="preserve">Scan A vs </w:t>
            </w:r>
          </w:p>
          <w:p w:rsidR="00000000" w:rsidDel="00000000" w:rsidP="00000000" w:rsidRDefault="00000000" w:rsidRPr="00000000" w14:paraId="000000C2">
            <w:pPr>
              <w:rPr>
                <w:color w:val="0070c0"/>
              </w:rPr>
            </w:pPr>
            <w:r w:rsidDel="00000000" w:rsidR="00000000" w:rsidRPr="00000000">
              <w:rPr>
                <w:color w:val="0070c0"/>
                <w:rtl w:val="0"/>
              </w:rPr>
              <w:t xml:space="preserve">Scan J (Alginate)</w:t>
            </w:r>
          </w:p>
        </w:tc>
        <w:tc>
          <w:tcPr/>
          <w:p w:rsidR="00000000" w:rsidDel="00000000" w:rsidP="00000000" w:rsidRDefault="00000000" w:rsidRPr="00000000" w14:paraId="000000C3">
            <w:pPr>
              <w:rPr>
                <w:color w:val="0070c0"/>
              </w:rPr>
            </w:pPr>
            <w:r w:rsidDel="00000000" w:rsidR="00000000" w:rsidRPr="00000000">
              <w:rPr>
                <w:color w:val="0070c0"/>
                <w:rtl w:val="0"/>
              </w:rPr>
              <w:t xml:space="preserve">123.05 vs 639.13</w:t>
            </w:r>
          </w:p>
        </w:tc>
        <w:tc>
          <w:tcPr/>
          <w:p w:rsidR="00000000" w:rsidDel="00000000" w:rsidP="00000000" w:rsidRDefault="00000000" w:rsidRPr="00000000" w14:paraId="000000C4">
            <w:pPr>
              <w:rPr>
                <w:color w:val="0070c0"/>
              </w:rPr>
            </w:pPr>
            <w:r w:rsidDel="00000000" w:rsidR="00000000" w:rsidRPr="00000000">
              <w:rPr>
                <w:color w:val="0070c0"/>
                <w:rtl w:val="0"/>
              </w:rPr>
              <w:t xml:space="preserve">-516.08</w:t>
            </w:r>
          </w:p>
        </w:tc>
        <w:tc>
          <w:tcPr/>
          <w:p w:rsidR="00000000" w:rsidDel="00000000" w:rsidP="00000000" w:rsidRDefault="00000000" w:rsidRPr="00000000" w14:paraId="000000C5">
            <w:pPr>
              <w:rPr>
                <w:color w:val="0070c0"/>
              </w:rPr>
            </w:pPr>
            <w:r w:rsidDel="00000000" w:rsidR="00000000" w:rsidRPr="00000000">
              <w:rPr>
                <w:color w:val="0070c0"/>
                <w:rtl w:val="0"/>
              </w:rPr>
              <w:t xml:space="preserve">0.000</w:t>
            </w:r>
          </w:p>
        </w:tc>
        <w:tc>
          <w:tcPr/>
          <w:p w:rsidR="00000000" w:rsidDel="00000000" w:rsidP="00000000" w:rsidRDefault="00000000" w:rsidRPr="00000000" w14:paraId="000000C6">
            <w:pPr>
              <w:rPr>
                <w:color w:val="0070c0"/>
              </w:rPr>
            </w:pPr>
            <w:r w:rsidDel="00000000" w:rsidR="00000000" w:rsidRPr="00000000">
              <w:rPr>
                <w:color w:val="0070c0"/>
                <w:rtl w:val="0"/>
              </w:rPr>
              <w:t xml:space="preserve">Highly significant</w:t>
            </w:r>
          </w:p>
        </w:tc>
        <w:tc>
          <w:tcPr/>
          <w:p w:rsidR="00000000" w:rsidDel="00000000" w:rsidP="00000000" w:rsidRDefault="00000000" w:rsidRPr="00000000" w14:paraId="000000C7">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C8">
            <w:pPr>
              <w:rPr/>
            </w:pPr>
            <w:r w:rsidDel="00000000" w:rsidR="00000000" w:rsidRPr="00000000">
              <w:rPr>
                <w:rtl w:val="0"/>
              </w:rPr>
              <w:t xml:space="preserve">Scan A vs </w:t>
            </w:r>
          </w:p>
          <w:p w:rsidR="00000000" w:rsidDel="00000000" w:rsidP="00000000" w:rsidRDefault="00000000" w:rsidRPr="00000000" w14:paraId="000000C9">
            <w:pPr>
              <w:rPr/>
            </w:pPr>
            <w:r w:rsidDel="00000000" w:rsidR="00000000" w:rsidRPr="00000000">
              <w:rPr>
                <w:rtl w:val="0"/>
              </w:rPr>
              <w:t xml:space="preserve">Scan B (No Alginate)</w:t>
            </w:r>
          </w:p>
        </w:tc>
        <w:tc>
          <w:tcPr/>
          <w:p w:rsidR="00000000" w:rsidDel="00000000" w:rsidP="00000000" w:rsidRDefault="00000000" w:rsidRPr="00000000" w14:paraId="000000CA">
            <w:pPr>
              <w:rPr/>
            </w:pPr>
            <w:r w:rsidDel="00000000" w:rsidR="00000000" w:rsidRPr="00000000">
              <w:rPr>
                <w:rtl w:val="0"/>
              </w:rPr>
              <w:t xml:space="preserve">123.05 vs 395.84</w:t>
            </w:r>
          </w:p>
        </w:tc>
        <w:tc>
          <w:tcPr/>
          <w:p w:rsidR="00000000" w:rsidDel="00000000" w:rsidP="00000000" w:rsidRDefault="00000000" w:rsidRPr="00000000" w14:paraId="000000CB">
            <w:pPr>
              <w:rPr/>
            </w:pPr>
            <w:r w:rsidDel="00000000" w:rsidR="00000000" w:rsidRPr="00000000">
              <w:rPr>
                <w:rtl w:val="0"/>
              </w:rPr>
              <w:t xml:space="preserve">-272.79</w:t>
            </w:r>
          </w:p>
        </w:tc>
        <w:tc>
          <w:tcPr/>
          <w:p w:rsidR="00000000" w:rsidDel="00000000" w:rsidP="00000000" w:rsidRDefault="00000000" w:rsidRPr="00000000" w14:paraId="000000CC">
            <w:pPr>
              <w:rPr/>
            </w:pPr>
            <w:r w:rsidDel="00000000" w:rsidR="00000000" w:rsidRPr="00000000">
              <w:rPr>
                <w:rtl w:val="0"/>
              </w:rPr>
              <w:t xml:space="preserve">0.622</w:t>
            </w:r>
          </w:p>
        </w:tc>
        <w:tc>
          <w:tcPr/>
          <w:p w:rsidR="00000000" w:rsidDel="00000000" w:rsidP="00000000" w:rsidRDefault="00000000" w:rsidRPr="00000000" w14:paraId="000000CD">
            <w:pPr>
              <w:rPr/>
            </w:pPr>
            <w:r w:rsidDel="00000000" w:rsidR="00000000" w:rsidRPr="00000000">
              <w:rPr>
                <w:rtl w:val="0"/>
              </w:rPr>
              <w:t xml:space="preserve">Not significant</w:t>
            </w:r>
          </w:p>
        </w:tc>
        <w:tc>
          <w:tcPr/>
          <w:p w:rsidR="00000000" w:rsidDel="00000000" w:rsidP="00000000" w:rsidRDefault="00000000" w:rsidRPr="00000000" w14:paraId="000000CE">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CF">
            <w:pPr>
              <w:rPr/>
            </w:pPr>
            <w:r w:rsidDel="00000000" w:rsidR="00000000" w:rsidRPr="00000000">
              <w:rPr>
                <w:rtl w:val="0"/>
              </w:rPr>
              <w:t xml:space="preserve">Scan A vs Scan E (No Alginate)</w:t>
            </w:r>
          </w:p>
        </w:tc>
        <w:tc>
          <w:tcPr/>
          <w:p w:rsidR="00000000" w:rsidDel="00000000" w:rsidP="00000000" w:rsidRDefault="00000000" w:rsidRPr="00000000" w14:paraId="000000D0">
            <w:pPr>
              <w:rPr/>
            </w:pPr>
            <w:r w:rsidDel="00000000" w:rsidR="00000000" w:rsidRPr="00000000">
              <w:rPr>
                <w:rtl w:val="0"/>
              </w:rPr>
              <w:t xml:space="preserve">123.05 vs 261.09</w:t>
            </w:r>
          </w:p>
        </w:tc>
        <w:tc>
          <w:tcPr/>
          <w:p w:rsidR="00000000" w:rsidDel="00000000" w:rsidP="00000000" w:rsidRDefault="00000000" w:rsidRPr="00000000" w14:paraId="000000D1">
            <w:pPr>
              <w:rPr/>
            </w:pPr>
            <w:r w:rsidDel="00000000" w:rsidR="00000000" w:rsidRPr="00000000">
              <w:rPr>
                <w:rtl w:val="0"/>
              </w:rPr>
              <w:t xml:space="preserve">-138.04</w:t>
            </w:r>
          </w:p>
        </w:tc>
        <w:tc>
          <w:tcPr/>
          <w:p w:rsidR="00000000" w:rsidDel="00000000" w:rsidP="00000000" w:rsidRDefault="00000000" w:rsidRPr="00000000" w14:paraId="000000D2">
            <w:pPr>
              <w:rPr/>
            </w:pPr>
            <w:r w:rsidDel="00000000" w:rsidR="00000000" w:rsidRPr="00000000">
              <w:rPr>
                <w:rtl w:val="0"/>
              </w:rPr>
              <w:t xml:space="preserve">0.979</w:t>
            </w:r>
          </w:p>
        </w:tc>
        <w:tc>
          <w:tcPr/>
          <w:p w:rsidR="00000000" w:rsidDel="00000000" w:rsidP="00000000" w:rsidRDefault="00000000" w:rsidRPr="00000000" w14:paraId="000000D3">
            <w:pPr>
              <w:rPr/>
            </w:pPr>
            <w:r w:rsidDel="00000000" w:rsidR="00000000" w:rsidRPr="00000000">
              <w:rPr>
                <w:rtl w:val="0"/>
              </w:rPr>
              <w:t xml:space="preserve">Not significant</w:t>
            </w:r>
          </w:p>
        </w:tc>
        <w:tc>
          <w:tcPr/>
          <w:p w:rsidR="00000000" w:rsidDel="00000000" w:rsidP="00000000" w:rsidRDefault="00000000" w:rsidRPr="00000000" w14:paraId="000000D4">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5">
            <w:pPr>
              <w:rPr/>
            </w:pPr>
            <w:r w:rsidDel="00000000" w:rsidR="00000000" w:rsidRPr="00000000">
              <w:rPr>
                <w:rtl w:val="0"/>
              </w:rPr>
              <w:t xml:space="preserve">Scan A vs Scan G (No Alginate)</w:t>
            </w:r>
          </w:p>
        </w:tc>
        <w:tc>
          <w:tcPr/>
          <w:p w:rsidR="00000000" w:rsidDel="00000000" w:rsidP="00000000" w:rsidRDefault="00000000" w:rsidRPr="00000000" w14:paraId="000000D6">
            <w:pPr>
              <w:rPr/>
            </w:pPr>
            <w:r w:rsidDel="00000000" w:rsidR="00000000" w:rsidRPr="00000000">
              <w:rPr>
                <w:rtl w:val="0"/>
              </w:rPr>
              <w:t xml:space="preserve">123.05 vs 465.33</w:t>
            </w:r>
          </w:p>
        </w:tc>
        <w:tc>
          <w:tcPr/>
          <w:p w:rsidR="00000000" w:rsidDel="00000000" w:rsidP="00000000" w:rsidRDefault="00000000" w:rsidRPr="00000000" w14:paraId="000000D7">
            <w:pPr>
              <w:rPr/>
            </w:pPr>
            <w:r w:rsidDel="00000000" w:rsidR="00000000" w:rsidRPr="00000000">
              <w:rPr>
                <w:rtl w:val="0"/>
              </w:rPr>
              <w:t xml:space="preserve">-342.28</w:t>
            </w:r>
          </w:p>
        </w:tc>
        <w:tc>
          <w:tcPr/>
          <w:p w:rsidR="00000000" w:rsidDel="00000000" w:rsidP="00000000" w:rsidRDefault="00000000" w:rsidRPr="00000000" w14:paraId="000000D8">
            <w:pPr>
              <w:rPr/>
            </w:pPr>
            <w:r w:rsidDel="00000000" w:rsidR="00000000" w:rsidRPr="00000000">
              <w:rPr>
                <w:rtl w:val="0"/>
              </w:rPr>
              <w:t xml:space="preserve">0.123</w:t>
            </w:r>
          </w:p>
        </w:tc>
        <w:tc>
          <w:tcPr/>
          <w:p w:rsidR="00000000" w:rsidDel="00000000" w:rsidP="00000000" w:rsidRDefault="00000000" w:rsidRPr="00000000" w14:paraId="000000D9">
            <w:pPr>
              <w:rPr/>
            </w:pPr>
            <w:r w:rsidDel="00000000" w:rsidR="00000000" w:rsidRPr="00000000">
              <w:rPr>
                <w:rtl w:val="0"/>
              </w:rPr>
              <w:t xml:space="preserve">Not significant</w:t>
            </w:r>
          </w:p>
        </w:tc>
        <w:tc>
          <w:tcPr/>
          <w:p w:rsidR="00000000" w:rsidDel="00000000" w:rsidP="00000000" w:rsidRDefault="00000000" w:rsidRPr="00000000" w14:paraId="000000DA">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B">
            <w:pPr>
              <w:rPr/>
            </w:pPr>
            <w:r w:rsidDel="00000000" w:rsidR="00000000" w:rsidRPr="00000000">
              <w:rPr>
                <w:rtl w:val="0"/>
              </w:rPr>
              <w:t xml:space="preserve">Scan A vs Scan I (No Alginate)</w:t>
            </w:r>
          </w:p>
        </w:tc>
        <w:tc>
          <w:tcPr/>
          <w:p w:rsidR="00000000" w:rsidDel="00000000" w:rsidP="00000000" w:rsidRDefault="00000000" w:rsidRPr="00000000" w14:paraId="000000DC">
            <w:pPr>
              <w:rPr/>
            </w:pPr>
            <w:r w:rsidDel="00000000" w:rsidR="00000000" w:rsidRPr="00000000">
              <w:rPr>
                <w:rtl w:val="0"/>
              </w:rPr>
              <w:t xml:space="preserve">123.05 vs 372.97</w:t>
            </w:r>
          </w:p>
        </w:tc>
        <w:tc>
          <w:tcPr/>
          <w:p w:rsidR="00000000" w:rsidDel="00000000" w:rsidP="00000000" w:rsidRDefault="00000000" w:rsidRPr="00000000" w14:paraId="000000DD">
            <w:pPr>
              <w:rPr/>
            </w:pPr>
            <w:r w:rsidDel="00000000" w:rsidR="00000000" w:rsidRPr="00000000">
              <w:rPr>
                <w:rtl w:val="0"/>
              </w:rPr>
              <w:t xml:space="preserve">-249.92</w:t>
            </w:r>
          </w:p>
        </w:tc>
        <w:tc>
          <w:tcPr/>
          <w:p w:rsidR="00000000" w:rsidDel="00000000" w:rsidP="00000000" w:rsidRDefault="00000000" w:rsidRPr="00000000" w14:paraId="000000DE">
            <w:pPr>
              <w:rPr/>
            </w:pPr>
            <w:r w:rsidDel="00000000" w:rsidR="00000000" w:rsidRPr="00000000">
              <w:rPr>
                <w:rtl w:val="0"/>
              </w:rPr>
              <w:t xml:space="preserve">0.453</w:t>
            </w:r>
          </w:p>
        </w:tc>
        <w:tc>
          <w:tcPr/>
          <w:p w:rsidR="00000000" w:rsidDel="00000000" w:rsidP="00000000" w:rsidRDefault="00000000" w:rsidRPr="00000000" w14:paraId="000000DF">
            <w:pPr>
              <w:rPr/>
            </w:pPr>
            <w:r w:rsidDel="00000000" w:rsidR="00000000" w:rsidRPr="00000000">
              <w:rPr>
                <w:rtl w:val="0"/>
              </w:rPr>
              <w:t xml:space="preserve">Not significant</w:t>
            </w:r>
          </w:p>
        </w:tc>
        <w:tc>
          <w:tcPr/>
          <w:p w:rsidR="00000000" w:rsidDel="00000000" w:rsidP="00000000" w:rsidRDefault="00000000" w:rsidRPr="00000000" w14:paraId="000000E0">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1">
            <w:pPr>
              <w:rPr/>
            </w:pP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r>
          </w:p>
        </w:tc>
      </w:tr>
    </w:tbl>
    <w:p w:rsidR="00000000" w:rsidDel="00000000" w:rsidP="00000000" w:rsidRDefault="00000000" w:rsidRPr="00000000" w14:paraId="000000E7">
      <w:pPr>
        <w:jc w:val="both"/>
        <w:rPr>
          <w:sz w:val="24"/>
          <w:szCs w:val="24"/>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7"/>
        <w:gridCol w:w="1488"/>
        <w:gridCol w:w="1396"/>
        <w:gridCol w:w="1003"/>
        <w:gridCol w:w="1629"/>
        <w:gridCol w:w="1817"/>
        <w:tblGridChange w:id="0">
          <w:tblGrid>
            <w:gridCol w:w="2017"/>
            <w:gridCol w:w="1488"/>
            <w:gridCol w:w="1396"/>
            <w:gridCol w:w="1003"/>
            <w:gridCol w:w="1629"/>
            <w:gridCol w:w="1817"/>
          </w:tblGrid>
        </w:tblGridChange>
      </w:tblGrid>
      <w:tr>
        <w:trPr>
          <w:cantSplit w:val="0"/>
          <w:trHeight w:val="300" w:hRule="atLeast"/>
          <w:tblHeader w:val="0"/>
        </w:trPr>
        <w:tc>
          <w:tcPr/>
          <w:p w:rsidR="00000000" w:rsidDel="00000000" w:rsidP="00000000" w:rsidRDefault="00000000" w:rsidRPr="00000000" w14:paraId="000000E8">
            <w:pPr>
              <w:jc w:val="both"/>
              <w:rPr>
                <w:sz w:val="24"/>
                <w:szCs w:val="24"/>
              </w:rPr>
            </w:pPr>
            <w:r w:rsidDel="00000000" w:rsidR="00000000" w:rsidRPr="00000000">
              <w:rPr>
                <w:rtl w:val="0"/>
              </w:rPr>
            </w:r>
          </w:p>
        </w:tc>
        <w:tc>
          <w:tcPr/>
          <w:p w:rsidR="00000000" w:rsidDel="00000000" w:rsidP="00000000" w:rsidRDefault="00000000" w:rsidRPr="00000000" w14:paraId="000000E9">
            <w:pPr>
              <w:jc w:val="both"/>
              <w:rPr>
                <w:sz w:val="24"/>
                <w:szCs w:val="24"/>
              </w:rPr>
            </w:pPr>
            <w:r w:rsidDel="00000000" w:rsidR="00000000" w:rsidRPr="00000000">
              <w:rPr>
                <w:rtl w:val="0"/>
              </w:rPr>
            </w:r>
          </w:p>
        </w:tc>
        <w:tc>
          <w:tcPr/>
          <w:p w:rsidR="00000000" w:rsidDel="00000000" w:rsidP="00000000" w:rsidRDefault="00000000" w:rsidRPr="00000000" w14:paraId="000000EA">
            <w:pPr>
              <w:jc w:val="both"/>
              <w:rPr>
                <w:sz w:val="24"/>
                <w:szCs w:val="24"/>
              </w:rPr>
            </w:pPr>
            <w:r w:rsidDel="00000000" w:rsidR="00000000" w:rsidRPr="00000000">
              <w:rPr>
                <w:rtl w:val="0"/>
              </w:rPr>
            </w:r>
          </w:p>
        </w:tc>
        <w:tc>
          <w:tcPr/>
          <w:p w:rsidR="00000000" w:rsidDel="00000000" w:rsidP="00000000" w:rsidRDefault="00000000" w:rsidRPr="00000000" w14:paraId="000000EB">
            <w:pPr>
              <w:jc w:val="both"/>
              <w:rPr>
                <w:sz w:val="24"/>
                <w:szCs w:val="24"/>
              </w:rPr>
            </w:pPr>
            <w:r w:rsidDel="00000000" w:rsidR="00000000" w:rsidRPr="00000000">
              <w:rPr>
                <w:rtl w:val="0"/>
              </w:rPr>
            </w:r>
          </w:p>
        </w:tc>
        <w:tc>
          <w:tcPr/>
          <w:p w:rsidR="00000000" w:rsidDel="00000000" w:rsidP="00000000" w:rsidRDefault="00000000" w:rsidRPr="00000000" w14:paraId="000000EC">
            <w:pPr>
              <w:jc w:val="both"/>
              <w:rPr>
                <w:sz w:val="24"/>
                <w:szCs w:val="24"/>
              </w:rPr>
            </w:pPr>
            <w:r w:rsidDel="00000000" w:rsidR="00000000" w:rsidRPr="00000000">
              <w:rPr>
                <w:rtl w:val="0"/>
              </w:rPr>
            </w:r>
          </w:p>
        </w:tc>
        <w:tc>
          <w:tcPr/>
          <w:p w:rsidR="00000000" w:rsidDel="00000000" w:rsidP="00000000" w:rsidRDefault="00000000" w:rsidRPr="00000000" w14:paraId="000000ED">
            <w:pPr>
              <w:jc w:val="both"/>
              <w:rPr>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E">
            <w:pPr>
              <w:jc w:val="center"/>
              <w:rPr>
                <w:b w:val="1"/>
                <w:bCs w:val="1"/>
              </w:rPr>
            </w:pPr>
            <w:r w:rsidDel="00000000" w:rsidR="00000000" w:rsidRPr="00000000">
              <w:rPr>
                <w:b w:val="1"/>
                <w:bCs w:val="1"/>
                <w:rtl w:val="0"/>
              </w:rPr>
              <w:t xml:space="preserve">Comparison</w:t>
            </w:r>
          </w:p>
        </w:tc>
        <w:tc>
          <w:tcPr/>
          <w:p w:rsidR="00000000" w:rsidDel="00000000" w:rsidP="00000000" w:rsidRDefault="00000000" w:rsidRPr="00000000" w14:paraId="000000EF">
            <w:pPr>
              <w:jc w:val="center"/>
              <w:rPr>
                <w:b w:val="1"/>
                <w:bCs w:val="1"/>
              </w:rPr>
            </w:pPr>
            <w:r w:rsidDel="00000000" w:rsidR="00000000" w:rsidRPr="00000000">
              <w:rPr>
                <w:b w:val="1"/>
                <w:bCs w:val="1"/>
                <w:rtl w:val="0"/>
              </w:rPr>
              <w:t xml:space="preserve">Mean Pixel Intensity (Scan X vs Y)</w:t>
            </w:r>
          </w:p>
        </w:tc>
        <w:tc>
          <w:tcPr/>
          <w:p w:rsidR="00000000" w:rsidDel="00000000" w:rsidP="00000000" w:rsidRDefault="00000000" w:rsidRPr="00000000" w14:paraId="000000F0">
            <w:pPr>
              <w:jc w:val="center"/>
              <w:rPr>
                <w:b w:val="1"/>
                <w:bCs w:val="1"/>
              </w:rPr>
            </w:pPr>
            <w:r w:rsidDel="00000000" w:rsidR="00000000" w:rsidRPr="00000000">
              <w:rPr>
                <w:b w:val="1"/>
                <w:bCs w:val="1"/>
                <w:rtl w:val="0"/>
              </w:rPr>
              <w:t xml:space="preserve">Mean Difference</w:t>
            </w:r>
          </w:p>
        </w:tc>
        <w:tc>
          <w:tcPr/>
          <w:p w:rsidR="00000000" w:rsidDel="00000000" w:rsidP="00000000" w:rsidRDefault="00000000" w:rsidRPr="00000000" w14:paraId="000000F1">
            <w:pPr>
              <w:jc w:val="center"/>
              <w:rPr>
                <w:b w:val="1"/>
                <w:bCs w:val="1"/>
              </w:rPr>
            </w:pPr>
            <w:r w:rsidDel="00000000" w:rsidR="00000000" w:rsidRPr="00000000">
              <w:rPr>
                <w:b w:val="1"/>
                <w:bCs w:val="1"/>
                <w:rtl w:val="0"/>
              </w:rPr>
              <w:t xml:space="preserve">p-value</w:t>
            </w:r>
          </w:p>
        </w:tc>
        <w:tc>
          <w:tcPr/>
          <w:p w:rsidR="00000000" w:rsidDel="00000000" w:rsidP="00000000" w:rsidRDefault="00000000" w:rsidRPr="00000000" w14:paraId="000000F2">
            <w:pPr>
              <w:jc w:val="center"/>
              <w:rPr>
                <w:b w:val="1"/>
                <w:bCs w:val="1"/>
              </w:rPr>
            </w:pPr>
            <w:r w:rsidDel="00000000" w:rsidR="00000000" w:rsidRPr="00000000">
              <w:rPr>
                <w:b w:val="1"/>
                <w:bCs w:val="1"/>
                <w:rtl w:val="0"/>
              </w:rPr>
              <w:t xml:space="preserve">Significance</w:t>
            </w:r>
          </w:p>
        </w:tc>
        <w:tc>
          <w:tcPr/>
          <w:p w:rsidR="00000000" w:rsidDel="00000000" w:rsidP="00000000" w:rsidRDefault="00000000" w:rsidRPr="00000000" w14:paraId="000000F3">
            <w:pPr>
              <w:jc w:val="center"/>
              <w:rPr>
                <w:b w:val="1"/>
                <w:bCs w:val="1"/>
              </w:rPr>
            </w:pPr>
            <w:r w:rsidDel="00000000" w:rsidR="00000000" w:rsidRPr="00000000">
              <w:rPr>
                <w:b w:val="1"/>
                <w:bCs w:val="1"/>
                <w:rtl w:val="0"/>
              </w:rPr>
              <w:t xml:space="preserve">Analysis</w:t>
            </w:r>
          </w:p>
        </w:tc>
      </w:tr>
      <w:tr>
        <w:trPr>
          <w:cantSplit w:val="0"/>
          <w:trHeight w:val="300" w:hRule="atLeast"/>
          <w:tblHeader w:val="0"/>
        </w:trPr>
        <w:tc>
          <w:tcPr/>
          <w:p w:rsidR="00000000" w:rsidDel="00000000" w:rsidP="00000000" w:rsidRDefault="00000000" w:rsidRPr="00000000" w14:paraId="000000F4">
            <w:pPr>
              <w:jc w:val="both"/>
              <w:rPr>
                <w:sz w:val="24"/>
                <w:szCs w:val="24"/>
              </w:rPr>
            </w:pPr>
            <w:r w:rsidDel="00000000" w:rsidR="00000000" w:rsidRPr="00000000">
              <w:rPr>
                <w:sz w:val="24"/>
                <w:szCs w:val="24"/>
                <w:rtl w:val="0"/>
              </w:rPr>
              <w:t xml:space="preserve">Scan E (No Alg) </w:t>
            </w:r>
          </w:p>
          <w:p w:rsidR="00000000" w:rsidDel="00000000" w:rsidP="00000000" w:rsidRDefault="00000000" w:rsidRPr="00000000" w14:paraId="000000F5">
            <w:pPr>
              <w:jc w:val="both"/>
              <w:rPr>
                <w:sz w:val="24"/>
                <w:szCs w:val="24"/>
              </w:rPr>
            </w:pPr>
            <w:r w:rsidDel="00000000" w:rsidR="00000000" w:rsidRPr="00000000">
              <w:rPr>
                <w:sz w:val="24"/>
                <w:szCs w:val="24"/>
                <w:rtl w:val="0"/>
              </w:rPr>
              <w:t xml:space="preserve">vs Scan F(Alg)</w:t>
            </w:r>
          </w:p>
        </w:tc>
        <w:tc>
          <w:tcPr/>
          <w:p w:rsidR="00000000" w:rsidDel="00000000" w:rsidP="00000000" w:rsidRDefault="00000000" w:rsidRPr="00000000" w14:paraId="000000F6">
            <w:pPr>
              <w:jc w:val="both"/>
              <w:rPr>
                <w:sz w:val="24"/>
                <w:szCs w:val="24"/>
              </w:rPr>
            </w:pPr>
            <w:r w:rsidDel="00000000" w:rsidR="00000000" w:rsidRPr="00000000">
              <w:rPr>
                <w:sz w:val="24"/>
                <w:szCs w:val="24"/>
                <w:rtl w:val="0"/>
              </w:rPr>
              <w:t xml:space="preserve">261.09 vs 632.21</w:t>
            </w:r>
          </w:p>
        </w:tc>
        <w:tc>
          <w:tcPr/>
          <w:p w:rsidR="00000000" w:rsidDel="00000000" w:rsidP="00000000" w:rsidRDefault="00000000" w:rsidRPr="00000000" w14:paraId="000000F7">
            <w:pPr>
              <w:jc w:val="both"/>
              <w:rPr>
                <w:sz w:val="24"/>
                <w:szCs w:val="24"/>
              </w:rPr>
            </w:pPr>
            <w:r w:rsidDel="00000000" w:rsidR="00000000" w:rsidRPr="00000000">
              <w:rPr>
                <w:sz w:val="24"/>
                <w:szCs w:val="24"/>
                <w:rtl w:val="0"/>
              </w:rPr>
              <w:t xml:space="preserve">-371.12</w:t>
            </w:r>
          </w:p>
        </w:tc>
        <w:tc>
          <w:tcPr/>
          <w:p w:rsidR="00000000" w:rsidDel="00000000" w:rsidP="00000000" w:rsidRDefault="00000000" w:rsidRPr="00000000" w14:paraId="000000F8">
            <w:pPr>
              <w:jc w:val="both"/>
              <w:rPr>
                <w:sz w:val="24"/>
                <w:szCs w:val="24"/>
              </w:rPr>
            </w:pPr>
            <w:r w:rsidDel="00000000" w:rsidR="00000000" w:rsidRPr="00000000">
              <w:rPr>
                <w:sz w:val="24"/>
                <w:szCs w:val="24"/>
                <w:rtl w:val="0"/>
              </w:rPr>
              <w:t xml:space="preserve">0.012</w:t>
            </w:r>
          </w:p>
        </w:tc>
        <w:tc>
          <w:tcPr/>
          <w:p w:rsidR="00000000" w:rsidDel="00000000" w:rsidP="00000000" w:rsidRDefault="00000000" w:rsidRPr="00000000" w14:paraId="000000F9">
            <w:pPr>
              <w:jc w:val="both"/>
              <w:rPr>
                <w:sz w:val="24"/>
                <w:szCs w:val="24"/>
              </w:rPr>
            </w:pPr>
            <w:r w:rsidDel="00000000" w:rsidR="00000000" w:rsidRPr="00000000">
              <w:rPr>
                <w:sz w:val="24"/>
                <w:szCs w:val="24"/>
                <w:rtl w:val="0"/>
              </w:rPr>
              <w:t xml:space="preserve">Significant</w:t>
            </w:r>
          </w:p>
        </w:tc>
        <w:tc>
          <w:tcPr/>
          <w:p w:rsidR="00000000" w:rsidDel="00000000" w:rsidP="00000000" w:rsidRDefault="00000000" w:rsidRPr="00000000" w14:paraId="000000FA">
            <w:pPr>
              <w:jc w:val="both"/>
              <w:rPr>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B">
            <w:pPr>
              <w:jc w:val="both"/>
              <w:rPr>
                <w:sz w:val="24"/>
                <w:szCs w:val="24"/>
              </w:rPr>
            </w:pPr>
            <w:r w:rsidDel="00000000" w:rsidR="00000000" w:rsidRPr="00000000">
              <w:rPr>
                <w:sz w:val="24"/>
                <w:szCs w:val="24"/>
                <w:rtl w:val="0"/>
              </w:rPr>
              <w:t xml:space="preserve">Scan G ( No Alg) vs </w:t>
            </w:r>
          </w:p>
          <w:p w:rsidR="00000000" w:rsidDel="00000000" w:rsidP="00000000" w:rsidRDefault="00000000" w:rsidRPr="00000000" w14:paraId="000000FC">
            <w:pPr>
              <w:jc w:val="both"/>
              <w:rPr>
                <w:sz w:val="24"/>
                <w:szCs w:val="24"/>
              </w:rPr>
            </w:pPr>
            <w:r w:rsidDel="00000000" w:rsidR="00000000" w:rsidRPr="00000000">
              <w:rPr>
                <w:sz w:val="24"/>
                <w:szCs w:val="24"/>
                <w:rtl w:val="0"/>
              </w:rPr>
              <w:t xml:space="preserve">Scan H(Alg)</w:t>
            </w:r>
          </w:p>
        </w:tc>
        <w:tc>
          <w:tcPr/>
          <w:p w:rsidR="00000000" w:rsidDel="00000000" w:rsidP="00000000" w:rsidRDefault="00000000" w:rsidRPr="00000000" w14:paraId="000000FD">
            <w:pPr>
              <w:jc w:val="both"/>
              <w:rPr>
                <w:sz w:val="24"/>
                <w:szCs w:val="24"/>
              </w:rPr>
            </w:pPr>
            <w:r w:rsidDel="00000000" w:rsidR="00000000" w:rsidRPr="00000000">
              <w:rPr>
                <w:sz w:val="24"/>
                <w:szCs w:val="24"/>
                <w:rtl w:val="0"/>
              </w:rPr>
              <w:t xml:space="preserve">465.33 vs 598.67</w:t>
            </w:r>
          </w:p>
        </w:tc>
        <w:tc>
          <w:tcPr/>
          <w:p w:rsidR="00000000" w:rsidDel="00000000" w:rsidP="00000000" w:rsidRDefault="00000000" w:rsidRPr="00000000" w14:paraId="000000FE">
            <w:pPr>
              <w:jc w:val="both"/>
              <w:rPr>
                <w:sz w:val="24"/>
                <w:szCs w:val="24"/>
              </w:rPr>
            </w:pPr>
            <w:r w:rsidDel="00000000" w:rsidR="00000000" w:rsidRPr="00000000">
              <w:rPr>
                <w:sz w:val="24"/>
                <w:szCs w:val="24"/>
                <w:rtl w:val="0"/>
              </w:rPr>
              <w:t xml:space="preserve">-133.34</w:t>
            </w:r>
          </w:p>
        </w:tc>
        <w:tc>
          <w:tcPr/>
          <w:p w:rsidR="00000000" w:rsidDel="00000000" w:rsidP="00000000" w:rsidRDefault="00000000" w:rsidRPr="00000000" w14:paraId="000000FF">
            <w:pPr>
              <w:jc w:val="both"/>
              <w:rPr>
                <w:sz w:val="24"/>
                <w:szCs w:val="24"/>
              </w:rPr>
            </w:pPr>
            <w:r w:rsidDel="00000000" w:rsidR="00000000" w:rsidRPr="00000000">
              <w:rPr>
                <w:sz w:val="24"/>
                <w:szCs w:val="24"/>
                <w:rtl w:val="0"/>
              </w:rPr>
              <w:t xml:space="preserve">0.087</w:t>
            </w:r>
          </w:p>
        </w:tc>
        <w:tc>
          <w:tcPr/>
          <w:p w:rsidR="00000000" w:rsidDel="00000000" w:rsidP="00000000" w:rsidRDefault="00000000" w:rsidRPr="00000000" w14:paraId="00000100">
            <w:pPr>
              <w:jc w:val="both"/>
              <w:rPr>
                <w:sz w:val="24"/>
                <w:szCs w:val="24"/>
              </w:rPr>
            </w:pPr>
            <w:r w:rsidDel="00000000" w:rsidR="00000000" w:rsidRPr="00000000">
              <w:rPr>
                <w:sz w:val="24"/>
                <w:szCs w:val="24"/>
                <w:rtl w:val="0"/>
              </w:rPr>
              <w:t xml:space="preserve">Not significant</w:t>
            </w:r>
          </w:p>
        </w:tc>
        <w:tc>
          <w:tcPr/>
          <w:p w:rsidR="00000000" w:rsidDel="00000000" w:rsidP="00000000" w:rsidRDefault="00000000" w:rsidRPr="00000000" w14:paraId="00000101">
            <w:pPr>
              <w:jc w:val="both"/>
              <w:rPr>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2">
            <w:pPr>
              <w:jc w:val="both"/>
              <w:rPr>
                <w:sz w:val="24"/>
                <w:szCs w:val="24"/>
              </w:rPr>
            </w:pPr>
            <w:r w:rsidDel="00000000" w:rsidR="00000000" w:rsidRPr="00000000">
              <w:rPr>
                <w:sz w:val="24"/>
                <w:szCs w:val="24"/>
                <w:rtl w:val="0"/>
              </w:rPr>
              <w:t xml:space="preserve">Scan I (No Alg)vs Scan J(Alg)</w:t>
            </w:r>
          </w:p>
        </w:tc>
        <w:tc>
          <w:tcPr/>
          <w:p w:rsidR="00000000" w:rsidDel="00000000" w:rsidP="00000000" w:rsidRDefault="00000000" w:rsidRPr="00000000" w14:paraId="00000103">
            <w:pPr>
              <w:jc w:val="both"/>
              <w:rPr>
                <w:sz w:val="24"/>
                <w:szCs w:val="24"/>
              </w:rPr>
            </w:pPr>
            <w:r w:rsidDel="00000000" w:rsidR="00000000" w:rsidRPr="00000000">
              <w:rPr>
                <w:sz w:val="24"/>
                <w:szCs w:val="24"/>
                <w:rtl w:val="0"/>
              </w:rPr>
              <w:t xml:space="preserve">372.97 vs 639.13</w:t>
            </w:r>
          </w:p>
        </w:tc>
        <w:tc>
          <w:tcPr/>
          <w:p w:rsidR="00000000" w:rsidDel="00000000" w:rsidP="00000000" w:rsidRDefault="00000000" w:rsidRPr="00000000" w14:paraId="00000104">
            <w:pPr>
              <w:jc w:val="both"/>
              <w:rPr>
                <w:sz w:val="24"/>
                <w:szCs w:val="24"/>
              </w:rPr>
            </w:pPr>
            <w:r w:rsidDel="00000000" w:rsidR="00000000" w:rsidRPr="00000000">
              <w:rPr>
                <w:sz w:val="24"/>
                <w:szCs w:val="24"/>
                <w:rtl w:val="0"/>
              </w:rPr>
              <w:t xml:space="preserve">-266.16</w:t>
            </w:r>
          </w:p>
        </w:tc>
        <w:tc>
          <w:tcPr/>
          <w:p w:rsidR="00000000" w:rsidDel="00000000" w:rsidP="00000000" w:rsidRDefault="00000000" w:rsidRPr="00000000" w14:paraId="00000105">
            <w:pPr>
              <w:jc w:val="both"/>
              <w:rPr>
                <w:sz w:val="24"/>
                <w:szCs w:val="24"/>
              </w:rPr>
            </w:pPr>
            <w:r w:rsidDel="00000000" w:rsidR="00000000" w:rsidRPr="00000000">
              <w:rPr>
                <w:sz w:val="24"/>
                <w:szCs w:val="24"/>
                <w:rtl w:val="0"/>
              </w:rPr>
              <w:t xml:space="preserve">0.049</w:t>
            </w:r>
          </w:p>
        </w:tc>
        <w:tc>
          <w:tcPr/>
          <w:p w:rsidR="00000000" w:rsidDel="00000000" w:rsidP="00000000" w:rsidRDefault="00000000" w:rsidRPr="00000000" w14:paraId="00000106">
            <w:pPr>
              <w:jc w:val="both"/>
              <w:rPr>
                <w:sz w:val="24"/>
                <w:szCs w:val="24"/>
              </w:rPr>
            </w:pPr>
            <w:r w:rsidDel="00000000" w:rsidR="00000000" w:rsidRPr="00000000">
              <w:rPr>
                <w:sz w:val="24"/>
                <w:szCs w:val="24"/>
                <w:rtl w:val="0"/>
              </w:rPr>
              <w:t xml:space="preserve">Significant</w:t>
            </w:r>
          </w:p>
        </w:tc>
        <w:tc>
          <w:tcPr/>
          <w:p w:rsidR="00000000" w:rsidDel="00000000" w:rsidP="00000000" w:rsidRDefault="00000000" w:rsidRPr="00000000" w14:paraId="00000107">
            <w:pPr>
              <w:jc w:val="both"/>
              <w:rPr>
                <w:sz w:val="24"/>
                <w:szCs w:val="24"/>
              </w:rPr>
            </w:pPr>
            <w:r w:rsidDel="00000000" w:rsidR="00000000" w:rsidRPr="00000000">
              <w:rPr>
                <w:rtl w:val="0"/>
              </w:rPr>
            </w:r>
          </w:p>
        </w:tc>
      </w:tr>
    </w:tbl>
    <w:p w:rsidR="00000000" w:rsidDel="00000000" w:rsidP="00000000" w:rsidRDefault="00000000" w:rsidRPr="00000000" w14:paraId="00000108">
      <w:pPr>
        <w:jc w:val="both"/>
        <w:rPr>
          <w:sz w:val="24"/>
          <w:szCs w:val="24"/>
        </w:rPr>
      </w:pPr>
      <w:r w:rsidDel="00000000" w:rsidR="00000000" w:rsidRPr="00000000">
        <w:rPr>
          <w:rtl w:val="0"/>
        </w:rPr>
      </w:r>
    </w:p>
    <w:p w:rsidR="00000000" w:rsidDel="00000000" w:rsidP="00000000" w:rsidRDefault="00000000" w:rsidRPr="00000000" w14:paraId="00000109">
      <w:pPr>
        <w:jc w:val="both"/>
        <w:rPr>
          <w:sz w:val="24"/>
          <w:szCs w:val="24"/>
        </w:rPr>
      </w:pPr>
      <w:bookmarkStart w:colFirst="0" w:colLast="0" w:name="_7aaqt9b7ry77" w:id="4"/>
      <w:bookmarkEnd w:id="4"/>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a8baf28c28a82237af009e1f99a300ff95c60a6d3589647d11ba790b6476b233</vt:lpwstr>
  </property>
</Properties>
</file>