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4" w:color="B4521B"/>
        </w:pBdr>
      </w:pPr>
      <w:r>
        <w:rPr/>
        <w:t>NAS-DisruptNet: results across the three tiers</w:t>
      </w:r>
    </w:p>
    <w:p>
      <w:r>
        <w:rPr/>
        <w:t xml:space="preserve">All numbers are </w:t>
      </w:r>
      <w:r>
        <w:rPr>
          <w:b/>
        </w:rPr>
        <w:t>test-set</w:t>
      </w:r>
      <w:r>
        <w:rPr/>
        <w:t xml:space="preserve">: forecasts made from 2024-03-01 to the last date whose outcome is known (2026-01-01 for Planning, 2026-01-30 for Strategic, end of January 2026 for Tactical; data ends 2026-01-31). Each tier was evaluated </w:t>
      </w:r>
      <w:r>
        <w:rPr>
          <w:b/>
        </w:rPr>
        <w:t>once</w:t>
      </w:r>
      <w:r>
        <w:rPr/>
        <w:t>, after its choices were frozen. Neural models: mean of 3 training runs with different random starts (± = their spread). Details, validation results and every decision behind them:</w:t>
      </w:r>
    </w:p>
    <w:p>
      <w:pPr>
        <w:pStyle w:val="ListBullet"/>
        <w:spacing w:after="60"/>
      </w:pPr>
      <w:r>
        <w:rPr/>
        <w:t xml:space="preserve">Planning (1–30 days): </w:t>
      </w:r>
      <w:r>
        <w:rPr>
          <w:rFonts w:ascii="Consolas" w:hAnsi="Consolas"/>
          <w:sz w:val="19"/>
        </w:rPr>
        <w:t>models/planning/training_results.md</w:t>
      </w:r>
    </w:p>
    <w:p>
      <w:pPr>
        <w:pStyle w:val="ListBullet"/>
        <w:spacing w:after="60"/>
      </w:pPr>
      <w:r>
        <w:rPr/>
        <w:t xml:space="preserve">Strategic (2–24 hours): </w:t>
      </w:r>
      <w:r>
        <w:rPr>
          <w:rFonts w:ascii="Consolas" w:hAnsi="Consolas"/>
          <w:sz w:val="19"/>
        </w:rPr>
        <w:t>models/strategic/training_results.md</w:t>
      </w:r>
    </w:p>
    <w:p>
      <w:pPr>
        <w:pStyle w:val="ListBullet"/>
        <w:spacing w:after="60"/>
      </w:pPr>
      <w:r>
        <w:rPr/>
        <w:t xml:space="preserve">Tactical (0–2 hours): </w:t>
      </w:r>
      <w:r>
        <w:rPr>
          <w:rFonts w:ascii="Consolas" w:hAnsi="Consolas"/>
          <w:sz w:val="19"/>
        </w:rPr>
        <w:t>models/tactical/training_results.md</w:t>
      </w:r>
    </w:p>
    <w:p>
      <w:pPr>
        <w:pStyle w:val="Heading1"/>
      </w:pPr>
      <w:r>
        <w:rPr/>
        <w:t>Common setup</w:t>
      </w:r>
    </w:p>
    <w:p>
      <w:pPr>
        <w:pStyle w:val="ListBullet"/>
        <w:spacing w:after="60"/>
      </w:pPr>
      <w:r>
        <w:rPr>
          <w:b/>
        </w:rPr>
        <w:t>Label: GDP only, from an EDCT proxy.</w:t>
      </w:r>
      <w:r>
        <w:rPr/>
        <w:t xml:space="preserve"> ASPM Advisories (real GDP / Ground Stop / Miles-in-Trail records) were never available. A GDP day = ≥ 10% of the airport's arrivals held with an EDCT; a GDP hour = ≥ 50% held (and ≥ 2). Both thresholds sit at troughs of the observed distributions; no published source. Departure EDCTs are excluded from the definition — they reflect GDPs at destinations.</w:t>
      </w:r>
    </w:p>
    <w:p>
      <w:pPr>
        <w:pStyle w:val="ListBullet"/>
        <w:spacing w:after="60"/>
      </w:pPr>
      <w:r>
        <w:rPr/>
        <w:t>75 airports; train 2016–2022 (COVID period Mar 2020–Jun 2021 excluded), validation 2023, test 2024–2025, 30-day embargoes between splits.</w:t>
      </w:r>
    </w:p>
    <w:p>
      <w:pPr>
        <w:pStyle w:val="ListBullet"/>
        <w:spacing w:after="60"/>
      </w:pPr>
      <w:r>
        <w:rPr/>
        <w:t xml:space="preserve">Decision cost uses FAOC-Loss's weights (miss = $11,809 × airport delay-propagation multiplier, false alarm = $1,476 — placeholder durations of 2 h and 0.25 h, </w:t>
      </w:r>
      <w:r>
        <w:rPr>
          <w:rFonts w:ascii="Consolas" w:hAnsi="Consolas"/>
          <w:sz w:val="19"/>
        </w:rPr>
        <w:t>losses/cost_figures.md</w:t>
      </w:r>
      <w:r>
        <w:rPr/>
        <w:t xml:space="preserve"> §4), at the cost-ratio threshold (≈ 6–9%) fixed in advance.</w:t>
      </w:r>
    </w:p>
    <w:p>
      <w:pPr>
        <w:pStyle w:val="ListBullet"/>
        <w:spacing w:after="60"/>
      </w:pPr>
      <w:r>
        <w:rPr/>
        <w:t>Weather is observed METAR (as climatology at Planning, actuals at Strategic/Tactical); no numerical weather forecasts (HRRR) were used.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2876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Tier</w:t>
            </w:r>
          </w:p>
        </w:tc>
        <w:tc>
          <w:tcPr>
            <w:tcW w:type="dxa" w:w="1482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Event rate (test)</w:t>
            </w:r>
          </w:p>
        </w:tc>
        <w:tc>
          <w:tcPr>
            <w:tcW w:type="dxa" w:w="1569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Best simple policy</w:t>
            </w:r>
          </w:p>
        </w:tc>
        <w:tc>
          <w:tcPr>
            <w:tcW w:type="dxa" w:w="1482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Main model</w:t>
            </w:r>
          </w:p>
        </w:tc>
        <w:tc>
          <w:tcPr>
            <w:tcW w:type="dxa" w:w="2528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Cost reduction vs best simple</w:t>
            </w:r>
          </w:p>
        </w:tc>
      </w:tr>
      <w:tr>
        <w:tc>
          <w:tcPr>
            <w:tcW w:type="dxa" w:w="2876"/>
          </w:tcPr>
          <w:p>
            <w:pPr>
              <w:spacing w:after="0" w:before="0"/>
            </w:pPr>
            <w:r>
              <w:rPr>
                <w:sz w:val="19"/>
              </w:rPr>
              <w:t>Planning (GDP day in next 1–30 d)</w:t>
            </w:r>
          </w:p>
        </w:tc>
        <w:tc>
          <w:tcPr>
            <w:tcW w:type="dxa" w:w="1482"/>
          </w:tcPr>
          <w:p>
            <w:pPr>
              <w:spacing w:after="0" w:before="0"/>
            </w:pPr>
            <w:r>
              <w:rPr>
                <w:sz w:val="19"/>
              </w:rPr>
              <w:t>41.3%</w:t>
            </w:r>
          </w:p>
        </w:tc>
        <w:tc>
          <w:tcPr>
            <w:tcW w:type="dxa" w:w="1569"/>
          </w:tcPr>
          <w:p>
            <w:pPr>
              <w:spacing w:after="0" w:before="0"/>
            </w:pPr>
            <w:r>
              <w:rPr>
                <w:sz w:val="19"/>
              </w:rPr>
              <w:t>always flag $867</w:t>
            </w:r>
          </w:p>
        </w:tc>
        <w:tc>
          <w:tcPr>
            <w:tcW w:type="dxa" w:w="1482"/>
          </w:tcPr>
          <w:p>
            <w:pPr>
              <w:spacing w:after="0" w:before="0"/>
            </w:pPr>
            <w:r>
              <w:rPr>
                <w:sz w:val="19"/>
              </w:rPr>
              <w:t>DisruptNet $620</w:t>
            </w:r>
          </w:p>
        </w:tc>
        <w:tc>
          <w:tcPr>
            <w:tcW w:type="dxa" w:w="2528"/>
          </w:tcPr>
          <w:p>
            <w:pPr>
              <w:spacing w:after="0" w:before="0"/>
            </w:pPr>
            <w:r>
              <w:rPr>
                <w:sz w:val="19"/>
              </w:rPr>
              <w:t>−28%</w:t>
            </w:r>
          </w:p>
        </w:tc>
      </w:tr>
      <w:tr>
        <w:tc>
          <w:tcPr>
            <w:tcW w:type="dxa" w:w="2876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Strategic (GDP day tomorrow)</w:t>
            </w:r>
          </w:p>
        </w:tc>
        <w:tc>
          <w:tcPr>
            <w:tcW w:type="dxa" w:w="1482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5.6%</w:t>
            </w:r>
          </w:p>
        </w:tc>
        <w:tc>
          <w:tcPr>
            <w:tcW w:type="dxa" w:w="1569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never flag $995</w:t>
            </w:r>
          </w:p>
        </w:tc>
        <w:tc>
          <w:tcPr>
            <w:tcW w:type="dxa" w:w="1482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STGNN top-10 $464</w:t>
            </w:r>
          </w:p>
        </w:tc>
        <w:tc>
          <w:tcPr>
            <w:tcW w:type="dxa" w:w="2528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−53%</w:t>
            </w:r>
          </w:p>
        </w:tc>
      </w:tr>
      <w:tr>
        <w:tc>
          <w:tcPr>
            <w:tcW w:type="dxa" w:w="2876"/>
          </w:tcPr>
          <w:p>
            <w:pPr>
              <w:spacing w:after="0" w:before="0"/>
            </w:pPr>
            <w:r>
              <w:rPr>
                <w:sz w:val="19"/>
              </w:rPr>
              <w:t>Tactical (GDP hour in next 2 h)</w:t>
            </w:r>
          </w:p>
        </w:tc>
        <w:tc>
          <w:tcPr>
            <w:tcW w:type="dxa" w:w="1482"/>
          </w:tcPr>
          <w:p>
            <w:pPr>
              <w:spacing w:after="0" w:before="0"/>
            </w:pPr>
            <w:r>
              <w:rPr>
                <w:sz w:val="19"/>
              </w:rPr>
              <w:t>2.3%</w:t>
            </w:r>
          </w:p>
        </w:tc>
        <w:tc>
          <w:tcPr>
            <w:tcW w:type="dxa" w:w="1569"/>
          </w:tcPr>
          <w:p>
            <w:pPr>
              <w:spacing w:after="0" w:before="0"/>
            </w:pPr>
            <w:r>
              <w:rPr>
                <w:sz w:val="19"/>
              </w:rPr>
              <w:t>never flag $407</w:t>
            </w:r>
          </w:p>
        </w:tc>
        <w:tc>
          <w:tcPr>
            <w:tcW w:type="dxa" w:w="1482"/>
          </w:tcPr>
          <w:p>
            <w:pPr>
              <w:spacing w:after="0" w:before="0"/>
            </w:pPr>
            <w:r>
              <w:rPr>
                <w:sz w:val="19"/>
              </w:rPr>
              <w:t>STGNN top-10 $36</w:t>
            </w:r>
          </w:p>
        </w:tc>
        <w:tc>
          <w:tcPr>
            <w:tcW w:type="dxa" w:w="2528"/>
          </w:tcPr>
          <w:p>
            <w:pPr>
              <w:spacing w:after="0" w:before="0"/>
            </w:pPr>
            <w:r>
              <w:rPr>
                <w:sz w:val="19"/>
              </w:rPr>
              <w:t>−91%</w:t>
            </w:r>
          </w:p>
        </w:tc>
      </w:tr>
    </w:tbl>
    <w:p>
      <w:pPr>
        <w:spacing w:after="40"/>
      </w:pPr>
    </w:p>
    <w:p>
      <w:r>
        <w:rPr/>
        <w:t>Costs are per airport-day (Planning, Strategic) or per airport-hour (Tactical).</w:t>
      </w:r>
    </w:p>
    <w:p>
      <w:pPr>
        <w:pStyle w:val="Heading1"/>
      </w:pPr>
      <w:r>
        <w:rPr/>
        <w:t>The paper's claims vs. the results</w:t>
      </w:r>
    </w:p>
    <w:p>
      <w:r>
        <w:rPr/>
        <w:t xml:space="preserve">Claims as stated in the paper's Introduction (Goal, Objectives, Practical contributions, Section 5). Theoretical contributions are left for after the analysis. Verdicts: </w:t>
      </w:r>
      <w:r>
        <w:rPr>
          <w:b/>
        </w:rPr>
        <w:t>Supported</w:t>
      </w:r>
      <w:r>
        <w:rPr/>
        <w:t xml:space="preserve">, </w:t>
      </w:r>
      <w:r>
        <w:rPr>
          <w:b/>
        </w:rPr>
        <w:t>Partly</w:t>
      </w:r>
      <w:r>
        <w:rPr/>
        <w:t xml:space="preserve">, </w:t>
      </w:r>
      <w:r>
        <w:rPr>
          <w:b/>
        </w:rPr>
        <w:t>Not supported</w:t>
      </w:r>
      <w:r>
        <w:rPr/>
        <w:t xml:space="preserve">, </w:t>
      </w:r>
      <w:r>
        <w:rPr>
          <w:b/>
        </w:rPr>
        <w:t>Not tested</w:t>
      </w:r>
      <w:r>
        <w:rPr/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757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Paper says</w:t>
            </w:r>
          </w:p>
        </w:tc>
        <w:tc>
          <w:tcPr>
            <w:tcW w:type="dxa" w:w="4213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Results</w:t>
            </w:r>
          </w:p>
        </w:tc>
        <w:tc>
          <w:tcPr>
            <w:tcW w:type="dxa" w:w="1966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Verdict</w:t>
            </w:r>
          </w:p>
        </w:tc>
      </w:tr>
      <w:tr>
        <w:tc>
          <w:tcPr>
            <w:tcW w:type="dxa" w:w="3757"/>
          </w:tcPr>
          <w:p>
            <w:pPr>
              <w:spacing w:after="0" w:before="0"/>
            </w:pPr>
            <w:r>
              <w:rPr>
                <w:sz w:val="19"/>
              </w:rPr>
              <w:t>Disruptive events are the high-impact 5–10% of NAS days</w:t>
            </w:r>
          </w:p>
        </w:tc>
        <w:tc>
          <w:tcPr>
            <w:tcW w:type="dxa" w:w="4213"/>
          </w:tcPr>
          <w:p>
            <w:pPr>
              <w:spacing w:after="0" w:before="0"/>
            </w:pPr>
            <w:r>
              <w:rPr>
                <w:sz w:val="19"/>
              </w:rPr>
              <w:t>GDP days 4–6% of airport-days (Strategic), GDP hours 1.5–2.3% of open airport-hours (Tactical); at 1–30 days, "a GDP somewhere in the next month" is 32–44%</w:t>
            </w:r>
          </w:p>
        </w:tc>
        <w:tc>
          <w:tcPr>
            <w:tcW w:type="dxa" w:w="1966"/>
          </w:tcPr>
          <w:p>
            <w:pPr>
              <w:spacing w:after="0" w:before="0"/>
            </w:pPr>
            <w:r>
              <w:rPr>
                <w:b/>
                <w:color w:val="1F6B3A"/>
                <w:sz w:val="19"/>
              </w:rPr>
              <w:t>Supported</w:t>
            </w:r>
            <w:r>
              <w:rPr>
                <w:color w:val="1F6B3A"/>
                <w:sz w:val="19"/>
              </w:rPr>
              <w:t xml:space="preserve"> for the day/hour framing</w:t>
            </w:r>
          </w:p>
        </w:tc>
      </w:tr>
      <w:tr>
        <w:tc>
          <w:tcPr>
            <w:tcW w:type="dxa" w:w="3757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Symmetric losses + IID splits look accurate but fail operationally</w:t>
            </w:r>
          </w:p>
        </w:tc>
        <w:tc>
          <w:tcPr>
            <w:tcW w:type="dxa" w:w="4213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 xml:space="preserve">All splits are temporal with embargoes (no IID). A standard 0.5 threshold costs </w:t>
            </w:r>
            <w:r>
              <w:rPr>
                <w:i/>
                <w:sz w:val="19"/>
              </w:rPr>
              <w:t>more than always flagging</w:t>
            </w:r>
            <w:r>
              <w:rPr>
                <w:sz w:val="19"/>
              </w:rPr>
              <w:t xml:space="preserve"> at Planning; pooled AUC (~0.91) is mostly airport identity; one validation year misled twice (recent history, TFT) — caught by blocked CV and the test</w:t>
            </w:r>
          </w:p>
        </w:tc>
        <w:tc>
          <w:tcPr>
            <w:tcW w:type="dxa" w:w="1966"/>
            <w:shd w:val="clear" w:color="auto" w:fill="F3F1EC"/>
          </w:tcPr>
          <w:p>
            <w:pPr>
              <w:spacing w:after="0" w:before="0"/>
            </w:pPr>
            <w:r>
              <w:rPr>
                <w:b/>
                <w:color w:val="1F6B3A"/>
                <w:sz w:val="19"/>
              </w:rPr>
              <w:t>Supported</w:t>
            </w:r>
          </w:p>
        </w:tc>
      </w:tr>
      <w:tr>
        <w:tc>
          <w:tcPr>
            <w:tcW w:type="dxa" w:w="3757"/>
          </w:tcPr>
          <w:p>
            <w:pPr>
              <w:spacing w:after="0" w:before="0"/>
            </w:pPr>
            <w:r>
              <w:rPr>
                <w:sz w:val="19"/>
              </w:rPr>
              <w:t xml:space="preserve">Goal: </w:t>
            </w:r>
            <w:r>
              <w:rPr>
                <w:b/>
                <w:sz w:val="19"/>
              </w:rPr>
              <w:t>probabilistic</w:t>
            </w:r>
            <w:r>
              <w:rPr>
                <w:sz w:val="19"/>
              </w:rPr>
              <w:t xml:space="preserve"> forecasts</w:t>
            </w:r>
          </w:p>
        </w:tc>
        <w:tc>
          <w:tcPr>
            <w:tcW w:type="dxa" w:w="4213"/>
          </w:tcPr>
          <w:p>
            <w:pPr>
              <w:spacing w:after="0" w:before="0"/>
            </w:pPr>
            <w:r>
              <w:rPr>
                <w:sz w:val="19"/>
              </w:rPr>
              <w:t>Calibration error 0.002–0.05 for standard-loss models at every tier; under-prediction of the 2025 rise at Planning (37% vs 44%)</w:t>
            </w:r>
          </w:p>
        </w:tc>
        <w:tc>
          <w:tcPr>
            <w:tcW w:type="dxa" w:w="1966"/>
          </w:tcPr>
          <w:p>
            <w:pPr>
              <w:spacing w:after="0" w:before="0"/>
            </w:pPr>
            <w:r>
              <w:rPr>
                <w:b/>
                <w:color w:val="1F6B3A"/>
                <w:sz w:val="19"/>
              </w:rPr>
              <w:t>Supported</w:t>
            </w:r>
            <w:r>
              <w:rPr>
                <w:color w:val="1F6B3A"/>
                <w:sz w:val="19"/>
              </w:rPr>
              <w:t>, with drift at long horizons</w:t>
            </w:r>
          </w:p>
        </w:tc>
      </w:tr>
      <w:tr>
        <w:tc>
          <w:tcPr>
            <w:tcW w:type="dxa" w:w="3757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 xml:space="preserve">Goal: </w:t>
            </w:r>
            <w:r>
              <w:rPr>
                <w:b/>
                <w:sz w:val="19"/>
              </w:rPr>
              <w:t>multi-horizon</w:t>
            </w:r>
            <w:r>
              <w:rPr>
                <w:sz w:val="19"/>
              </w:rPr>
              <w:t>, hierarchical (0–2 h, 2–24 h, 1–30 d)</w:t>
            </w:r>
          </w:p>
        </w:tc>
        <w:tc>
          <w:tcPr>
            <w:tcW w:type="dxa" w:w="4213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Three tiers built, trained and tested on a shared split; each tier is a separate model — no coupling between tiers was built</w:t>
            </w:r>
          </w:p>
        </w:tc>
        <w:tc>
          <w:tcPr>
            <w:tcW w:type="dxa" w:w="1966"/>
            <w:shd w:val="clear" w:color="auto" w:fill="F3F1EC"/>
          </w:tcPr>
          <w:p>
            <w:pPr>
              <w:spacing w:after="0" w:before="0"/>
            </w:pPr>
            <w:r>
              <w:rPr>
                <w:b/>
                <w:color w:val="8A5A00"/>
                <w:sz w:val="19"/>
              </w:rPr>
              <w:t>Partly</w:t>
            </w:r>
          </w:p>
        </w:tc>
      </w:tr>
      <w:tr>
        <w:tc>
          <w:tcPr>
            <w:tcW w:type="dxa" w:w="3757"/>
          </w:tcPr>
          <w:p>
            <w:pPr>
              <w:spacing w:after="0" w:before="0"/>
            </w:pPr>
            <w:r>
              <w:rPr>
                <w:sz w:val="19"/>
              </w:rPr>
              <w:t xml:space="preserve">Goal: forecasts of </w:t>
            </w:r>
            <w:r>
              <w:rPr>
                <w:b/>
                <w:sz w:val="19"/>
              </w:rPr>
              <w:t>regime transitions</w:t>
            </w:r>
          </w:p>
        </w:tc>
        <w:tc>
          <w:tcPr>
            <w:tcW w:type="dxa" w:w="4213"/>
          </w:tcPr>
          <w:p>
            <w:pPr>
              <w:spacing w:after="0" w:before="0"/>
            </w:pPr>
            <w:r>
              <w:rPr>
                <w:sz w:val="19"/>
              </w:rPr>
              <w:t>Planning: transition F1 ≤ 0.044 (no model times transitions). Tactical: 80% of onsets are visible from held arrivals; on clean onsets (no held arrivals yet, 0.14% of hours) best PR-AUC 0.22, of which half comes from network visibility of already-issued programs</w:t>
            </w:r>
          </w:p>
        </w:tc>
        <w:tc>
          <w:tcPr>
            <w:tcW w:type="dxa" w:w="1966"/>
          </w:tcPr>
          <w:p>
            <w:pPr>
              <w:spacing w:after="0" w:before="0"/>
            </w:pPr>
            <w:r>
              <w:rPr>
                <w:b/>
                <w:color w:val="8A5A00"/>
                <w:sz w:val="19"/>
              </w:rPr>
              <w:t>Partly</w:t>
            </w:r>
            <w:r>
              <w:rPr>
                <w:color w:val="8A5A00"/>
                <w:sz w:val="19"/>
              </w:rPr>
              <w:t xml:space="preserve"> — onset warning exists at 0–2 h but is modest</w:t>
            </w:r>
          </w:p>
        </w:tc>
      </w:tr>
      <w:tr>
        <w:tc>
          <w:tcPr>
            <w:tcW w:type="dxa" w:w="3757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 xml:space="preserve">Goal: </w:t>
            </w:r>
            <w:r>
              <w:rPr>
                <w:b/>
                <w:sz w:val="19"/>
              </w:rPr>
              <w:t>GDP, Ground Stop and Miles-in-Trail</w:t>
            </w:r>
          </w:p>
        </w:tc>
        <w:tc>
          <w:tcPr>
            <w:tcW w:type="dxa" w:w="4213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GDP only (EDCT proxy); ASPM Advisories never available</w:t>
            </w:r>
          </w:p>
        </w:tc>
        <w:tc>
          <w:tcPr>
            <w:tcW w:type="dxa" w:w="1966"/>
            <w:shd w:val="clear" w:color="auto" w:fill="F3F1EC"/>
          </w:tcPr>
          <w:p>
            <w:pPr>
              <w:spacing w:after="0" w:before="0"/>
            </w:pPr>
            <w:r>
              <w:rPr>
                <w:b/>
                <w:color w:val="5B6573"/>
                <w:sz w:val="19"/>
              </w:rPr>
              <w:t>Not tested</w:t>
            </w:r>
            <w:r>
              <w:rPr>
                <w:color w:val="5B6573"/>
                <w:sz w:val="19"/>
              </w:rPr>
              <w:t xml:space="preserve"> for GS/MIT</w:t>
            </w:r>
          </w:p>
        </w:tc>
      </w:tr>
      <w:tr>
        <w:tc>
          <w:tcPr>
            <w:tcW w:type="dxa" w:w="3757"/>
          </w:tcPr>
          <w:p>
            <w:pPr>
              <w:spacing w:after="0" w:before="0"/>
            </w:pPr>
            <w:r>
              <w:rPr>
                <w:sz w:val="19"/>
              </w:rPr>
              <w:t>Obj. 1: integrate flight ops, ATC initiative logs, high-res weather, rotation topology</w:t>
            </w:r>
          </w:p>
        </w:tc>
        <w:tc>
          <w:tcPr>
            <w:tcW w:type="dxa" w:w="4213"/>
          </w:tcPr>
          <w:p>
            <w:pPr>
              <w:spacing w:after="0" w:before="0"/>
            </w:pPr>
            <w:r>
              <w:rPr>
                <w:sz w:val="19"/>
              </w:rPr>
              <w:t>Flight ops, rotation topology, observed weather: yes. Initiative logs, numerical weather forecasts: no</w:t>
            </w:r>
          </w:p>
        </w:tc>
        <w:tc>
          <w:tcPr>
            <w:tcW w:type="dxa" w:w="1966"/>
          </w:tcPr>
          <w:p>
            <w:pPr>
              <w:spacing w:after="0" w:before="0"/>
            </w:pPr>
            <w:r>
              <w:rPr>
                <w:b/>
                <w:color w:val="8A5A00"/>
                <w:sz w:val="19"/>
              </w:rPr>
              <w:t>Partly</w:t>
            </w:r>
          </w:p>
        </w:tc>
      </w:tr>
      <w:tr>
        <w:tc>
          <w:tcPr>
            <w:tcW w:type="dxa" w:w="3757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Obj. 2: rotation-chain graph architectures beat treating airports as independent</w:t>
            </w:r>
          </w:p>
        </w:tc>
        <w:tc>
          <w:tcPr>
            <w:tcW w:type="dxa" w:w="4213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No effect at 1–30 d or 2–24 h. At 0–2 h the graph helps (−14% cost) but entirely through neighbors' departure EDCTs — already-issued programs, not propagation</w:t>
            </w:r>
          </w:p>
        </w:tc>
        <w:tc>
          <w:tcPr>
            <w:tcW w:type="dxa" w:w="1966"/>
            <w:shd w:val="clear" w:color="auto" w:fill="F3F1EC"/>
          </w:tcPr>
          <w:p>
            <w:pPr>
              <w:spacing w:after="0" w:before="0"/>
            </w:pPr>
            <w:r>
              <w:rPr>
                <w:b/>
                <w:color w:val="A33A12"/>
                <w:sz w:val="19"/>
              </w:rPr>
              <w:t>Not supported</w:t>
            </w:r>
            <w:r>
              <w:rPr>
                <w:color w:val="A33A12"/>
                <w:sz w:val="19"/>
              </w:rPr>
              <w:t xml:space="preserve"> as propagation forecasting</w:t>
            </w:r>
          </w:p>
        </w:tc>
      </w:tr>
      <w:tr>
        <w:tc>
          <w:tcPr>
            <w:tcW w:type="dxa" w:w="3757"/>
          </w:tcPr>
          <w:p>
            <w:pPr>
              <w:spacing w:after="0" w:before="0"/>
            </w:pPr>
            <w:r>
              <w:rPr>
                <w:sz w:val="19"/>
              </w:rPr>
              <w:t>Obj. 3: FAOC-Loss aligns training with GDP cost economics</w:t>
            </w:r>
          </w:p>
        </w:tc>
        <w:tc>
          <w:tcPr>
            <w:tcW w:type="dxa" w:w="4213"/>
          </w:tcPr>
          <w:p>
            <w:pPr>
              <w:spacing w:after="0" w:before="0"/>
            </w:pPr>
            <w:r>
              <w:rPr>
                <w:sz w:val="19"/>
              </w:rPr>
              <w:t>Same operational cost as standard training + cost-derived threshold (worse at Planning, ~1–2% better at Strategic, tied at Tactical); destroys calibration</w:t>
            </w:r>
          </w:p>
        </w:tc>
        <w:tc>
          <w:tcPr>
            <w:tcW w:type="dxa" w:w="1966"/>
          </w:tcPr>
          <w:p>
            <w:pPr>
              <w:spacing w:after="0" w:before="0"/>
            </w:pPr>
            <w:r>
              <w:rPr>
                <w:b/>
                <w:color w:val="A33A12"/>
                <w:sz w:val="19"/>
              </w:rPr>
              <w:t>Not supported</w:t>
            </w:r>
            <w:r>
              <w:rPr>
                <w:color w:val="A33A12"/>
                <w:sz w:val="19"/>
              </w:rPr>
              <w:t xml:space="preserve"> as an improvement</w:t>
            </w:r>
          </w:p>
        </w:tc>
      </w:tr>
      <w:tr>
        <w:tc>
          <w:tcPr>
            <w:tcW w:type="dxa" w:w="3757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Obj. 3: MoE regime routing</w:t>
            </w:r>
          </w:p>
        </w:tc>
        <w:tc>
          <w:tcPr>
            <w:tcW w:type="dxa" w:w="4213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Ties logistic regression at Planning; beaten by sequence/graph models at short horizons; regime experts untrainable without regime labels</w:t>
            </w:r>
          </w:p>
        </w:tc>
        <w:tc>
          <w:tcPr>
            <w:tcW w:type="dxa" w:w="1966"/>
            <w:shd w:val="clear" w:color="auto" w:fill="F3F1EC"/>
          </w:tcPr>
          <w:p>
            <w:pPr>
              <w:spacing w:after="0" w:before="0"/>
            </w:pPr>
            <w:r>
              <w:rPr>
                <w:b/>
                <w:color w:val="A33A12"/>
                <w:sz w:val="19"/>
              </w:rPr>
              <w:t>Not supported</w:t>
            </w:r>
          </w:p>
        </w:tc>
      </w:tr>
      <w:tr>
        <w:tc>
          <w:tcPr>
            <w:tcW w:type="dxa" w:w="3757"/>
          </w:tcPr>
          <w:p>
            <w:pPr>
              <w:spacing w:after="0" w:before="0"/>
            </w:pPr>
            <w:r>
              <w:rPr>
                <w:sz w:val="19"/>
              </w:rPr>
              <w:t>Obj. 3: robust to structural breaks (pandemic)</w:t>
            </w:r>
          </w:p>
        </w:tc>
        <w:tc>
          <w:tcPr>
            <w:tcW w:type="dxa" w:w="4213"/>
          </w:tcPr>
          <w:p>
            <w:pPr>
              <w:spacing w:after="0" w:before="0"/>
            </w:pPr>
            <w:r>
              <w:rPr>
                <w:sz w:val="19"/>
              </w:rPr>
              <w:t>COVID excluded, not modeled; including it changed nothing material; 2025 rise under-predicted at Planning</w:t>
            </w:r>
          </w:p>
        </w:tc>
        <w:tc>
          <w:tcPr>
            <w:tcW w:type="dxa" w:w="1966"/>
          </w:tcPr>
          <w:p>
            <w:pPr>
              <w:spacing w:after="0" w:before="0"/>
            </w:pPr>
            <w:r>
              <w:rPr>
                <w:b/>
                <w:color w:val="8A5A00"/>
                <w:sz w:val="19"/>
              </w:rPr>
              <w:t>Partly</w:t>
            </w:r>
          </w:p>
        </w:tc>
      </w:tr>
      <w:tr>
        <w:tc>
          <w:tcPr>
            <w:tcW w:type="dxa" w:w="3757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Obj. 4: six-metric KPI suite, temporal blocked CV with regime stratification, stress tests, shadow mode</w:t>
            </w:r>
          </w:p>
        </w:tc>
        <w:tc>
          <w:tcPr>
            <w:tcW w:type="dxa" w:w="4213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 xml:space="preserve">All four used </w:t>
            </w:r>
            <w:r>
              <w:rPr>
                <w:b/>
                <w:sz w:val="19"/>
              </w:rPr>
              <w:t>at Planning only</w:t>
            </w:r>
            <w:r>
              <w:rPr>
                <w:sz w:val="19"/>
              </w:rPr>
              <w:t>; stratification is a positive/negative balance check, not regime-based. Strategic/Tactical: cost, calibration, onset metrics and sensitivity checks, no stress tests or shadow mode</w:t>
            </w:r>
          </w:p>
        </w:tc>
        <w:tc>
          <w:tcPr>
            <w:tcW w:type="dxa" w:w="1966"/>
            <w:shd w:val="clear" w:color="auto" w:fill="F3F1EC"/>
          </w:tcPr>
          <w:p>
            <w:pPr>
              <w:spacing w:after="0" w:before="0"/>
            </w:pPr>
            <w:r>
              <w:rPr>
                <w:b/>
                <w:color w:val="8A5A00"/>
                <w:sz w:val="19"/>
              </w:rPr>
              <w:t>Partly</w:t>
            </w:r>
          </w:p>
        </w:tc>
      </w:tr>
      <w:tr>
        <w:tc>
          <w:tcPr>
            <w:tcW w:type="dxa" w:w="3757"/>
          </w:tcPr>
          <w:p>
            <w:pPr>
              <w:spacing w:after="0" w:before="0"/>
            </w:pPr>
            <w:r>
              <w:rPr>
                <w:sz w:val="19"/>
              </w:rPr>
              <w:t xml:space="preserve">Practical: calibrated probabilities of GDP/GS/MIT </w:t>
            </w:r>
            <w:r>
              <w:rPr>
                <w:b/>
                <w:sz w:val="19"/>
              </w:rPr>
              <w:t>onset</w:t>
            </w:r>
            <w:r>
              <w:rPr>
                <w:sz w:val="19"/>
              </w:rPr>
              <w:t xml:space="preserve"> with lead time for the </w:t>
            </w:r>
            <w:r>
              <w:rPr>
                <w:b/>
                <w:sz w:val="19"/>
              </w:rPr>
              <w:t>90-minute CDM window</w:t>
            </w:r>
          </w:p>
        </w:tc>
        <w:tc>
          <w:tcPr>
            <w:tcW w:type="dxa" w:w="4213"/>
          </w:tcPr>
          <w:p>
            <w:pPr>
              <w:spacing w:after="0" w:before="0"/>
            </w:pPr>
            <w:r>
              <w:rPr>
                <w:sz w:val="19"/>
              </w:rPr>
              <w:t>At 0–2 h: calibrated GDP probabilities; clean-onset PR-AUC 0.22 at a 0.14% base rate (~150× chance) — useful ranking, but most alerts false. GS/MIT not available</w:t>
            </w:r>
          </w:p>
        </w:tc>
        <w:tc>
          <w:tcPr>
            <w:tcW w:type="dxa" w:w="1966"/>
          </w:tcPr>
          <w:p>
            <w:pPr>
              <w:spacing w:after="0" w:before="0"/>
            </w:pPr>
            <w:r>
              <w:rPr>
                <w:b/>
                <w:color w:val="8A5A00"/>
                <w:sz w:val="19"/>
              </w:rPr>
              <w:t>Partly</w:t>
            </w:r>
            <w:r>
              <w:rPr>
                <w:color w:val="8A5A00"/>
                <w:sz w:val="19"/>
              </w:rPr>
              <w:t xml:space="preserve"> (GDP only, modest)</w:t>
            </w:r>
          </w:p>
        </w:tc>
      </w:tr>
      <w:tr>
        <w:tc>
          <w:tcPr>
            <w:tcW w:type="dxa" w:w="3757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Section 5: results vs. Seq2Seq, TFT, SARIMA</w:t>
            </w:r>
          </w:p>
        </w:tc>
        <w:tc>
          <w:tcPr>
            <w:tcW w:type="dxa" w:w="4213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Main models beat SARIMA everywhere; tie Seq2Seq/TFT at Planning, edge them at Strategic, beat them at Tactical. Logistic regression ties the main model at Planning — must be in the table</w:t>
            </w:r>
          </w:p>
        </w:tc>
        <w:tc>
          <w:tcPr>
            <w:tcW w:type="dxa" w:w="1966"/>
            <w:shd w:val="clear" w:color="auto" w:fill="F3F1EC"/>
          </w:tcPr>
          <w:p>
            <w:pPr>
              <w:spacing w:after="0" w:before="0"/>
            </w:pPr>
            <w:r>
              <w:rPr>
                <w:b/>
                <w:color w:val="8A5A00"/>
                <w:sz w:val="19"/>
              </w:rPr>
              <w:t>Partly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By objective</w:t>
      </w:r>
    </w:p>
    <w:p>
      <w:pPr>
        <w:pStyle w:val="Heading2"/>
      </w:pPr>
      <w:r>
        <w:rPr/>
        <w:t>Objective 1 — integrated multi-resolution data</w:t>
      </w:r>
    </w:p>
    <w:p>
      <w:r>
        <w:rPr/>
        <w:t>Built: BTS (rotation graph), ASPM Airport Analysis, ASPM EDCT, METAR, joined at daily (Planning, Strategic) and hourly UTC (Tactical) resolution, with one-time Parquet caches (</w:t>
      </w:r>
      <w:r>
        <w:rPr>
          <w:rFonts w:ascii="Consolas" w:hAnsi="Consolas"/>
          <w:sz w:val="19"/>
        </w:rPr>
        <w:t>common/aspm_cache.py</w:t>
      </w:r>
      <w:r>
        <w:rPr/>
        <w:t>). Not available: ATC initiative logs (ASPM Advisories), high-resolution numerical weather. The label is a GDP-only proxy throughout.</w:t>
      </w:r>
    </w:p>
    <w:p>
      <w:pPr>
        <w:pStyle w:val="Heading2"/>
      </w:pPr>
      <w:r>
        <w:rPr/>
        <w:t>Objective 2 — spatially aware architectures (rotation-chain graph)</w:t>
      </w:r>
    </w:p>
    <w:p>
      <w:r>
        <w:rPr/>
        <w:t>Same ablation at every tier: graph of each airport's 10 strongest 2019 rotation partners vs. any flights vs. no graph.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88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Tier</w:t>
            </w:r>
          </w:p>
        </w:tc>
        <w:tc>
          <w:tcPr>
            <w:tcW w:type="dxa" w:w="3277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Top-10 graph</w:t>
            </w:r>
          </w:p>
        </w:tc>
        <w:tc>
          <w:tcPr>
            <w:tcW w:type="dxa" w:w="1691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No graph</w:t>
            </w:r>
          </w:p>
        </w:tc>
        <w:tc>
          <w:tcPr>
            <w:tcW w:type="dxa" w:w="1480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Graph effect</w:t>
            </w:r>
          </w:p>
        </w:tc>
      </w:tr>
      <w:tr>
        <w:tc>
          <w:tcPr>
            <w:tcW w:type="dxa" w:w="3488"/>
          </w:tcPr>
          <w:p>
            <w:pPr>
              <w:spacing w:after="0" w:before="0"/>
            </w:pPr>
            <w:r>
              <w:rPr>
                <w:sz w:val="19"/>
              </w:rPr>
              <w:t>Planning (Regime Transformer)</w:t>
            </w:r>
          </w:p>
        </w:tc>
        <w:tc>
          <w:tcPr>
            <w:tcW w:type="dxa" w:w="3277"/>
          </w:tcPr>
          <w:p>
            <w:pPr>
              <w:spacing w:after="0" w:before="0"/>
            </w:pPr>
            <w:r>
              <w:rPr>
                <w:sz w:val="19"/>
              </w:rPr>
              <w:t>$734 ± 93</w:t>
            </w:r>
          </w:p>
        </w:tc>
        <w:tc>
          <w:tcPr>
            <w:tcW w:type="dxa" w:w="1691"/>
          </w:tcPr>
          <w:p>
            <w:pPr>
              <w:spacing w:after="0" w:before="0"/>
            </w:pPr>
            <w:r>
              <w:rPr>
                <w:sz w:val="19"/>
              </w:rPr>
              <w:t>$637 ± 33</w:t>
            </w:r>
          </w:p>
        </w:tc>
        <w:tc>
          <w:tcPr>
            <w:tcW w:type="dxa" w:w="1480"/>
          </w:tcPr>
          <w:p>
            <w:pPr>
              <w:spacing w:after="0" w:before="0"/>
            </w:pPr>
            <w:r>
              <w:rPr>
                <w:sz w:val="19"/>
              </w:rPr>
              <w:t>none / harmful</w:t>
            </w:r>
          </w:p>
        </w:tc>
      </w:tr>
      <w:tr>
        <w:tc>
          <w:tcPr>
            <w:tcW w:type="dxa" w:w="3488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Strategic (STGNN)</w:t>
            </w:r>
          </w:p>
        </w:tc>
        <w:tc>
          <w:tcPr>
            <w:tcW w:type="dxa" w:w="3277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$464 ± 1, within-AUC 0.717</w:t>
            </w:r>
          </w:p>
        </w:tc>
        <w:tc>
          <w:tcPr>
            <w:tcW w:type="dxa" w:w="1691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$464 ± 13, 0.716</w:t>
            </w:r>
          </w:p>
        </w:tc>
        <w:tc>
          <w:tcPr>
            <w:tcW w:type="dxa" w:w="1480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3488"/>
          </w:tcPr>
          <w:p>
            <w:pPr>
              <w:spacing w:after="0" w:before="0"/>
            </w:pPr>
            <w:r>
              <w:rPr>
                <w:sz w:val="19"/>
              </w:rPr>
              <w:t>Tactical (STGNN)</w:t>
            </w:r>
          </w:p>
        </w:tc>
        <w:tc>
          <w:tcPr>
            <w:tcW w:type="dxa" w:w="3277"/>
          </w:tcPr>
          <w:p>
            <w:pPr>
              <w:spacing w:after="0" w:before="0"/>
            </w:pPr>
            <w:r>
              <w:rPr>
                <w:sz w:val="19"/>
              </w:rPr>
              <w:t>$36.3, clean-onset PR-AUC 0.216</w:t>
            </w:r>
          </w:p>
        </w:tc>
        <w:tc>
          <w:tcPr>
            <w:tcW w:type="dxa" w:w="1691"/>
          </w:tcPr>
          <w:p>
            <w:pPr>
              <w:spacing w:after="0" w:before="0"/>
            </w:pPr>
            <w:r>
              <w:rPr>
                <w:sz w:val="19"/>
              </w:rPr>
              <w:t>$42.0, 0.103</w:t>
            </w:r>
          </w:p>
        </w:tc>
        <w:tc>
          <w:tcPr>
            <w:tcW w:type="dxa" w:w="1480"/>
          </w:tcPr>
          <w:p>
            <w:pPr>
              <w:spacing w:after="0" w:before="0"/>
            </w:pPr>
            <w:r>
              <w:rPr>
                <w:sz w:val="19"/>
              </w:rPr>
              <w:t>large</w:t>
            </w:r>
          </w:p>
        </w:tc>
      </w:tr>
      <w:tr>
        <w:tc>
          <w:tcPr>
            <w:tcW w:type="dxa" w:w="3488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Tactical, departure EDCTs removed</w:t>
            </w:r>
          </w:p>
        </w:tc>
        <w:tc>
          <w:tcPr>
            <w:tcW w:type="dxa" w:w="3277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$42.0, 0.099</w:t>
            </w:r>
          </w:p>
        </w:tc>
        <w:tc>
          <w:tcPr>
            <w:tcW w:type="dxa" w:w="1691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$41.9, 0.103</w:t>
            </w:r>
          </w:p>
        </w:tc>
        <w:tc>
          <w:tcPr>
            <w:tcW w:type="dxa" w:w="1480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none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/>
        <w:t>At 1–30 days and 2–24 hours the rotation graph adds nothing.</w:t>
      </w:r>
    </w:p>
    <w:p>
      <w:pPr>
        <w:pStyle w:val="ListBullet"/>
        <w:spacing w:after="60"/>
      </w:pPr>
      <w:r>
        <w:rPr/>
        <w:t xml:space="preserve">At 0–2 hours it cuts cost 14% and doubles clean-onset precision — but </w:t>
      </w:r>
      <w:r>
        <w:rPr>
          <w:b/>
        </w:rPr>
        <w:t>all of that comes from neighbors' departure EDCTs</w:t>
      </w:r>
      <w:r>
        <w:rPr/>
        <w:t>: flights to this airport being held elsewhere, i.e. a GDP already issued, visible through the network before held flights land. Without that signal the graph is worth nothing on test. Propagation of delays/weather along rotations is not detectable with these inputs.</w:t>
      </w:r>
    </w:p>
    <w:p>
      <w:pPr>
        <w:pStyle w:val="ListBullet"/>
        <w:spacing w:after="60"/>
      </w:pPr>
      <w:r>
        <w:rPr/>
        <w:t>The STGNN architecture itself (interleaved recurrent + graph update) ranks within airports best at the Strategic horizon (0.716 vs 0.69), with or without the graph.</w:t>
      </w:r>
    </w:p>
    <w:p>
      <w:pPr>
        <w:pStyle w:val="Heading2"/>
      </w:pPr>
      <w:r>
        <w:rPr/>
        <w:t>Objective 3 — FAOC-Loss and Mixture-of-Experts routing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983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Tier</w:t>
            </w:r>
          </w:p>
        </w:tc>
        <w:tc>
          <w:tcPr>
            <w:tcW w:type="dxa" w:w="3931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Standard loss + cost-ratio threshold</w:t>
            </w:r>
          </w:p>
        </w:tc>
        <w:tc>
          <w:tcPr>
            <w:tcW w:type="dxa" w:w="1747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FAOC-Loss at 0.5</w:t>
            </w:r>
          </w:p>
        </w:tc>
        <w:tc>
          <w:tcPr>
            <w:tcW w:type="dxa" w:w="3276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FAOC mean prediction vs actual</w:t>
            </w:r>
          </w:p>
        </w:tc>
      </w:tr>
      <w:tr>
        <w:tc>
          <w:tcPr>
            <w:tcW w:type="dxa" w:w="983"/>
          </w:tcPr>
          <w:p>
            <w:pPr>
              <w:spacing w:after="0" w:before="0"/>
            </w:pPr>
            <w:r>
              <w:rPr>
                <w:sz w:val="19"/>
              </w:rPr>
              <w:t>Planning</w:t>
            </w:r>
          </w:p>
        </w:tc>
        <w:tc>
          <w:tcPr>
            <w:tcW w:type="dxa" w:w="3931"/>
          </w:tcPr>
          <w:p>
            <w:pPr>
              <w:spacing w:after="0" w:before="0"/>
            </w:pPr>
            <w:r>
              <w:rPr>
                <w:sz w:val="19"/>
              </w:rPr>
              <w:t>$620</w:t>
            </w:r>
          </w:p>
        </w:tc>
        <w:tc>
          <w:tcPr>
            <w:tcW w:type="dxa" w:w="1747"/>
          </w:tcPr>
          <w:p>
            <w:pPr>
              <w:spacing w:after="0" w:before="0"/>
            </w:pPr>
            <w:r>
              <w:rPr>
                <w:sz w:val="19"/>
              </w:rPr>
              <w:t>$648</w:t>
            </w:r>
          </w:p>
        </w:tc>
        <w:tc>
          <w:tcPr>
            <w:tcW w:type="dxa" w:w="3276"/>
          </w:tcPr>
          <w:p>
            <w:pPr>
              <w:spacing w:after="0" w:before="0"/>
            </w:pPr>
            <w:r>
              <w:rPr>
                <w:sz w:val="19"/>
              </w:rPr>
              <w:t>68% vs 41%</w:t>
            </w:r>
          </w:p>
        </w:tc>
      </w:tr>
      <w:tr>
        <w:tc>
          <w:tcPr>
            <w:tcW w:type="dxa" w:w="983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Strategic</w:t>
            </w:r>
          </w:p>
        </w:tc>
        <w:tc>
          <w:tcPr>
            <w:tcW w:type="dxa" w:w="3931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$466</w:t>
            </w:r>
          </w:p>
        </w:tc>
        <w:tc>
          <w:tcPr>
            <w:tcW w:type="dxa" w:w="1747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$459</w:t>
            </w:r>
          </w:p>
        </w:tc>
        <w:tc>
          <w:tcPr>
            <w:tcW w:type="dxa" w:w="3276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23% vs 5.6%</w:t>
            </w:r>
          </w:p>
        </w:tc>
      </w:tr>
      <w:tr>
        <w:tc>
          <w:tcPr>
            <w:tcW w:type="dxa" w:w="983"/>
          </w:tcPr>
          <w:p>
            <w:pPr>
              <w:spacing w:after="0" w:before="0"/>
            </w:pPr>
            <w:r>
              <w:rPr>
                <w:sz w:val="19"/>
              </w:rPr>
              <w:t>Tactical</w:t>
            </w:r>
          </w:p>
        </w:tc>
        <w:tc>
          <w:tcPr>
            <w:tcW w:type="dxa" w:w="3931"/>
          </w:tcPr>
          <w:p>
            <w:pPr>
              <w:spacing w:after="0" w:before="0"/>
            </w:pPr>
            <w:r>
              <w:rPr>
                <w:sz w:val="19"/>
              </w:rPr>
              <w:t>$45.9</w:t>
            </w:r>
          </w:p>
        </w:tc>
        <w:tc>
          <w:tcPr>
            <w:tcW w:type="dxa" w:w="1747"/>
          </w:tcPr>
          <w:p>
            <w:pPr>
              <w:spacing w:after="0" w:before="0"/>
            </w:pPr>
            <w:r>
              <w:rPr>
                <w:sz w:val="19"/>
              </w:rPr>
              <w:t>$45.3</w:t>
            </w:r>
          </w:p>
        </w:tc>
        <w:tc>
          <w:tcPr>
            <w:tcW w:type="dxa" w:w="3276"/>
          </w:tcPr>
          <w:p>
            <w:pPr>
              <w:spacing w:after="0" w:before="0"/>
            </w:pPr>
            <w:r>
              <w:rPr>
                <w:sz w:val="19"/>
              </w:rPr>
              <w:t>4.8% vs 2.5% (2025)</w:t>
            </w:r>
          </w:p>
        </w:tc>
      </w:tr>
    </w:tbl>
    <w:p>
      <w:pPr>
        <w:spacing w:after="40"/>
      </w:pPr>
    </w:p>
    <w:p>
      <w:r>
        <w:rPr/>
        <w:t>(Test set. Validation sensitivity settings: Planning FAOC more expensive in all four; Strategic FAOC cheaper by $4–7 in all four; Tactical within $0.5 in all four.)</w:t>
      </w:r>
    </w:p>
    <w:p>
      <w:pPr>
        <w:pStyle w:val="ListBullet"/>
        <w:spacing w:after="60"/>
      </w:pPr>
      <w:r>
        <w:rPr>
          <w:b/>
        </w:rPr>
        <w:t>FAOC-Loss roughly matches standard training with a cost-derived decision threshold, with a tier-dependent sign</w:t>
      </w:r>
      <w:r>
        <w:rPr/>
        <w:t>: worse at Planning (test +$28, ~5%, and in all four validation settings), slightly but consistently cheaper at Strategic (−1–2% in all four validation settings and on test), tied at Tactical (within $0.5 in all four settings). Its probabilities are inflated 1.6–5× at every tier. Training on the cost ratio moves the decision threshold into the model; calibrated training + the threshold reaches about the same cost and keeps usable probabilities.</w:t>
      </w:r>
    </w:p>
    <w:p>
      <w:pPr>
        <w:pStyle w:val="ListBullet"/>
        <w:spacing w:after="60"/>
      </w:pPr>
      <w:r>
        <w:rPr>
          <w:b/>
        </w:rPr>
        <w:t>Mixture-of-Experts DisruptNet</w:t>
      </w:r>
      <w:r>
        <w:rPr/>
        <w:t xml:space="preserve"> ties logistic regression at Planning ($620 vs $617), beats it modestly at Strategic ($466 vs $478) and Tactical ($46 vs $54), and is beaten by sequence/graph models at the short horizons. Its four regime experts (normal/GDP/GS/MIT) can't specialize without regime labels.</w:t>
      </w:r>
    </w:p>
    <w:p>
      <w:pPr>
        <w:pStyle w:val="ListBullet"/>
        <w:spacing w:after="60"/>
      </w:pPr>
      <w:r>
        <w:rPr>
          <w:b/>
        </w:rPr>
        <w:t>Structural breaks</w:t>
      </w:r>
      <w:r>
        <w:rPr/>
        <w:t>: COVID was excluded rather than modeled (including it made no consistent difference, Planning sensitivity check). The 2025 rise in GDP frequency was under-predicted at Planning (37% vs 44%), mildly at Strategic (5.1–5.6% vs 6.2%), not at Tactical.</w:t>
      </w:r>
    </w:p>
    <w:p>
      <w:pPr>
        <w:pStyle w:val="Heading2"/>
      </w:pPr>
      <w:r>
        <w:rPr/>
        <w:t>Objective 4 — operational validation</w:t>
      </w:r>
    </w:p>
    <w:p>
      <w:r>
        <w:rPr/>
        <w:t xml:space="preserve">Scope: the full protocol (six-metric KPI suite, temporal blocked CV, stress tests, shadow mode) was applied at </w:t>
      </w:r>
      <w:r>
        <w:rPr>
          <w:b/>
        </w:rPr>
        <w:t>Planning only</w:t>
      </w:r>
      <w:r>
        <w:rPr/>
        <w:t>. Strategic and Tactical were evaluated on cost, calibration, within-airport and (Tactical) onset metrics, plus validation sensitivity checks. Blocked CV's "regime stratification" is a positive/negative balance check — real regime labels don't exist.</w:t>
      </w:r>
    </w:p>
    <w:p>
      <w:pPr>
        <w:pStyle w:val="ListBullet"/>
        <w:spacing w:after="60"/>
      </w:pPr>
      <w:r>
        <w:rPr>
          <w:b/>
        </w:rPr>
        <w:t>Cost-based evaluation changes conclusions</w:t>
      </w:r>
      <w:r>
        <w:rPr/>
        <w:t>: at Planning, the 0.5 threshold costs more than always flagging; pooled AUC (~0.91) is mostly airport identity (a lookup table scores 0.90) — within-airport AUC (~0.65) is the real skill measure.</w:t>
      </w:r>
    </w:p>
    <w:p>
      <w:pPr>
        <w:pStyle w:val="ListBullet"/>
        <w:spacing w:after="60"/>
      </w:pPr>
      <w:r>
        <w:rPr>
          <w:b/>
        </w:rPr>
        <w:t>Temporal blocked CV</w:t>
      </w:r>
      <w:r>
        <w:rPr/>
        <w:t xml:space="preserve"> overturned a single-year conclusion (recent history at Planning) and was used to fix the probability floor.</w:t>
      </w:r>
    </w:p>
    <w:p>
      <w:pPr>
        <w:pStyle w:val="ListBullet"/>
        <w:spacing w:after="60"/>
      </w:pPr>
      <w:r>
        <w:rPr>
          <w:b/>
        </w:rPr>
        <w:t>Validation-tuned thresholds don't transfer</w:t>
      </w:r>
      <w:r>
        <w:rPr/>
        <w:t>: on Planning test they raised cost for most models; the fixed cost-ratio rule held.</w:t>
      </w:r>
    </w:p>
    <w:p>
      <w:pPr>
        <w:pStyle w:val="ListBullet"/>
        <w:spacing w:after="60"/>
      </w:pPr>
      <w:r>
        <w:rPr>
          <w:b/>
        </w:rPr>
        <w:t>KPI suite on trained models (Planning)</w:t>
      </w:r>
      <w:r>
        <w:rPr/>
        <w:t>: false-alarm cost and cost-weighted recall (in the decision cost), calibration error (0.04 for the main model on test), forecast stability (daily |Δp| &lt; 0.005; decisions flip on 0.12% of airport-days), lead-time credit (~0.32 for every model — set by where GDPs fall in the window, not by the model), regime-transition F1 (below).</w:t>
      </w:r>
    </w:p>
    <w:p>
      <w:pPr>
        <w:pStyle w:val="ListBullet"/>
        <w:spacing w:after="60"/>
      </w:pPr>
      <w:r>
        <w:rPr>
          <w:b/>
        </w:rPr>
        <w:t>Regime transitions</w:t>
      </w:r>
      <w:r>
        <w:rPr/>
        <w:t xml:space="preserve">: no Planning model forecasts transitions (regime-transition F1 ≤ 0.044). At Tactical, 70% of positive hours are continuations and 80% of onsets are visible from held arrivals; on </w:t>
      </w:r>
      <w:r>
        <w:rPr>
          <w:b/>
        </w:rPr>
        <w:t>clean onsets</w:t>
      </w:r>
      <w:r>
        <w:rPr/>
        <w:t xml:space="preserve"> (no held arrivals yet, 0.14% of hours) the best model reaches PR-AUC 0.22 (0.10 without network EDCT visibility).</w:t>
      </w:r>
    </w:p>
    <w:p>
      <w:pPr>
        <w:pStyle w:val="ListBullet"/>
        <w:spacing w:after="60"/>
      </w:pPr>
      <w:r>
        <w:rPr>
          <w:b/>
        </w:rPr>
        <w:t>Stress tests</w:t>
      </w:r>
      <w:r>
        <w:rPr/>
        <w:t xml:space="preserve"> (Planning main model): fails visibly on NaN, stays valid under extreme inputs; worst-case perturbations of 0.1 SD raise cost 6–15%; a recent-history feed outage costs &lt; 2%.</w:t>
      </w:r>
    </w:p>
    <w:p>
      <w:pPr>
        <w:pStyle w:val="ListBullet"/>
        <w:spacing w:after="60"/>
      </w:pPr>
      <w:r>
        <w:rPr>
          <w:b/>
        </w:rPr>
        <w:t>Shadow mode</w:t>
      </w:r>
      <w:r>
        <w:rPr/>
        <w:t>: chronological replay of the Planning test window reproduces the direct evaluation exactly (live backlog 2,250 predictions). Replay only — no live feed exists.</w:t>
      </w:r>
    </w:p>
    <w:p>
      <w:pPr>
        <w:pStyle w:val="Heading2"/>
      </w:pPr>
      <w:r>
        <w:rPr/>
        <w:t>Section 5 baselines (Seq2Seq, TFT, SARIMA) and simple references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753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Tier</w:t>
            </w:r>
          </w:p>
        </w:tc>
        <w:tc>
          <w:tcPr>
            <w:tcW w:type="dxa" w:w="1559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Logistic</w:t>
            </w:r>
          </w:p>
        </w:tc>
        <w:tc>
          <w:tcPr>
            <w:tcW w:type="dxa" w:w="1559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SARIMA</w:t>
            </w:r>
          </w:p>
        </w:tc>
        <w:tc>
          <w:tcPr>
            <w:tcW w:type="dxa" w:w="1559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Seq2Seq</w:t>
            </w:r>
          </w:p>
        </w:tc>
        <w:tc>
          <w:tcPr>
            <w:tcW w:type="dxa" w:w="1559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TFT</w:t>
            </w:r>
          </w:p>
        </w:tc>
        <w:tc>
          <w:tcPr>
            <w:tcW w:type="dxa" w:w="1948"/>
            <w:shd w:val="clear" w:color="auto" w:fill="14213D"/>
          </w:tcPr>
          <w:p>
            <w:pPr>
              <w:spacing w:after="0" w:before="0"/>
            </w:pPr>
            <w:r>
              <w:rPr>
                <w:b/>
                <w:color w:val="F6F4EF"/>
                <w:sz w:val="19"/>
              </w:rPr>
              <w:t>Main model</w:t>
            </w:r>
          </w:p>
        </w:tc>
      </w:tr>
      <w:tr>
        <w:tc>
          <w:tcPr>
            <w:tcW w:type="dxa" w:w="1753"/>
          </w:tcPr>
          <w:p>
            <w:pPr>
              <w:spacing w:after="0" w:before="0"/>
            </w:pPr>
            <w:r>
              <w:rPr>
                <w:sz w:val="19"/>
              </w:rPr>
              <w:t>Planning</w:t>
            </w:r>
          </w:p>
        </w:tc>
        <w:tc>
          <w:tcPr>
            <w:tcW w:type="dxa" w:w="1559"/>
          </w:tcPr>
          <w:p>
            <w:pPr>
              <w:spacing w:after="0" w:before="0"/>
            </w:pPr>
            <w:r>
              <w:rPr>
                <w:b/>
                <w:sz w:val="19"/>
              </w:rPr>
              <w:t>$617</w:t>
            </w:r>
          </w:p>
        </w:tc>
        <w:tc>
          <w:tcPr>
            <w:tcW w:type="dxa" w:w="1559"/>
          </w:tcPr>
          <w:p>
            <w:pPr>
              <w:spacing w:after="0" w:before="0"/>
            </w:pPr>
            <w:r>
              <w:rPr>
                <w:sz w:val="19"/>
              </w:rPr>
              <w:t>$726</w:t>
            </w:r>
          </w:p>
        </w:tc>
        <w:tc>
          <w:tcPr>
            <w:tcW w:type="dxa" w:w="1559"/>
          </w:tcPr>
          <w:p>
            <w:pPr>
              <w:spacing w:after="0" w:before="0"/>
            </w:pPr>
            <w:r>
              <w:rPr>
                <w:sz w:val="19"/>
              </w:rPr>
              <w:t>$641</w:t>
            </w:r>
          </w:p>
        </w:tc>
        <w:tc>
          <w:tcPr>
            <w:tcW w:type="dxa" w:w="1559"/>
          </w:tcPr>
          <w:p>
            <w:pPr>
              <w:spacing w:after="0" w:before="0"/>
            </w:pPr>
            <w:r>
              <w:rPr>
                <w:sz w:val="19"/>
              </w:rPr>
              <w:t>$637</w:t>
            </w:r>
          </w:p>
        </w:tc>
        <w:tc>
          <w:tcPr>
            <w:tcW w:type="dxa" w:w="1948"/>
          </w:tcPr>
          <w:p>
            <w:pPr>
              <w:spacing w:after="0" w:before="0"/>
            </w:pPr>
            <w:r>
              <w:rPr>
                <w:sz w:val="19"/>
              </w:rPr>
              <w:t>$620</w:t>
            </w:r>
          </w:p>
        </w:tc>
      </w:tr>
      <w:tr>
        <w:tc>
          <w:tcPr>
            <w:tcW w:type="dxa" w:w="1753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Strategic</w:t>
            </w:r>
          </w:p>
        </w:tc>
        <w:tc>
          <w:tcPr>
            <w:tcW w:type="dxa" w:w="1559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$478</w:t>
            </w:r>
          </w:p>
        </w:tc>
        <w:tc>
          <w:tcPr>
            <w:tcW w:type="dxa" w:w="1559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$496</w:t>
            </w:r>
          </w:p>
        </w:tc>
        <w:tc>
          <w:tcPr>
            <w:tcW w:type="dxa" w:w="1559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$469</w:t>
            </w:r>
          </w:p>
        </w:tc>
        <w:tc>
          <w:tcPr>
            <w:tcW w:type="dxa" w:w="1559"/>
            <w:shd w:val="clear" w:color="auto" w:fill="F3F1EC"/>
          </w:tcPr>
          <w:p>
            <w:pPr>
              <w:spacing w:after="0" w:before="0"/>
            </w:pPr>
            <w:r>
              <w:rPr>
                <w:sz w:val="19"/>
              </w:rPr>
              <w:t>$497</w:t>
            </w:r>
          </w:p>
        </w:tc>
        <w:tc>
          <w:tcPr>
            <w:tcW w:type="dxa" w:w="1948"/>
            <w:shd w:val="clear" w:color="auto" w:fill="F3F1EC"/>
          </w:tcPr>
          <w:p>
            <w:pPr>
              <w:spacing w:after="0" w:before="0"/>
            </w:pPr>
            <w:r>
              <w:rPr>
                <w:b/>
                <w:sz w:val="19"/>
              </w:rPr>
              <w:t>$464</w:t>
            </w:r>
          </w:p>
        </w:tc>
      </w:tr>
      <w:tr>
        <w:tc>
          <w:tcPr>
            <w:tcW w:type="dxa" w:w="1753"/>
          </w:tcPr>
          <w:p>
            <w:pPr>
              <w:spacing w:after="0" w:before="0"/>
            </w:pPr>
            <w:r>
              <w:rPr>
                <w:sz w:val="19"/>
              </w:rPr>
              <w:t>Tactical</w:t>
            </w:r>
          </w:p>
        </w:tc>
        <w:tc>
          <w:tcPr>
            <w:tcW w:type="dxa" w:w="1559"/>
          </w:tcPr>
          <w:p>
            <w:pPr>
              <w:spacing w:after="0" w:before="0"/>
            </w:pPr>
            <w:r>
              <w:rPr>
                <w:sz w:val="19"/>
              </w:rPr>
              <w:t>$54</w:t>
            </w:r>
          </w:p>
        </w:tc>
        <w:tc>
          <w:tcPr>
            <w:tcW w:type="dxa" w:w="1559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  <w:tc>
          <w:tcPr>
            <w:tcW w:type="dxa" w:w="1559"/>
          </w:tcPr>
          <w:p>
            <w:pPr>
              <w:spacing w:after="0" w:before="0"/>
            </w:pPr>
            <w:r>
              <w:rPr>
                <w:sz w:val="19"/>
              </w:rPr>
              <w:t>$40.4</w:t>
            </w:r>
          </w:p>
        </w:tc>
        <w:tc>
          <w:tcPr>
            <w:tcW w:type="dxa" w:w="1559"/>
          </w:tcPr>
          <w:p>
            <w:pPr>
              <w:spacing w:after="0" w:before="0"/>
            </w:pPr>
            <w:r>
              <w:rPr>
                <w:sz w:val="19"/>
              </w:rPr>
              <w:t>$43.6</w:t>
            </w:r>
          </w:p>
        </w:tc>
        <w:tc>
          <w:tcPr>
            <w:tcW w:type="dxa" w:w="1948"/>
          </w:tcPr>
          <w:p>
            <w:pPr>
              <w:spacing w:after="0" w:before="0"/>
            </w:pPr>
            <w:r>
              <w:rPr>
                <w:b/>
                <w:sz w:val="19"/>
              </w:rPr>
              <w:t>$36.3</w:t>
            </w:r>
          </w:p>
        </w:tc>
      </w:tr>
    </w:tbl>
    <w:p>
      <w:pPr>
        <w:spacing w:after="40"/>
      </w:pPr>
    </w:p>
    <w:p>
      <w:r>
        <w:rPr/>
        <w:t>Logistic regression with airport identity is competitive at Planning and within ~3% of the best at Strategic; it should be reported as a baseline. SARIMA is the weakest learned model where run; it was not run hourly.</w:t>
      </w:r>
    </w:p>
    <w:p>
      <w:pPr>
        <w:pStyle w:val="Heading1"/>
      </w:pPr>
      <w:r>
        <w:rPr/>
        <w:t>Limitations to state</w:t>
      </w:r>
    </w:p>
    <w:p>
      <w:pPr>
        <w:pStyle w:val="ListBullet"/>
        <w:spacing w:after="60"/>
      </w:pPr>
      <w:r>
        <w:rPr/>
        <w:t>GDP-only EDCT proxy; no Ground Stop or Miles-in-Trail labels.</w:t>
      </w:r>
    </w:p>
    <w:p>
      <w:pPr>
        <w:pStyle w:val="ListBullet"/>
        <w:spacing w:after="60"/>
      </w:pPr>
      <w:r>
        <w:rPr/>
        <w:t xml:space="preserve">Thresholds (10% daily, 50% hourly) and FAOC durations are modeling choices. Sensitivity checks on validation — daily 5%/20% (Planning, Strategic), hourly 30%/70% (Tactical), and COVID kept in train (all three) — changed no conclusion: the graph effect (none at Planning and Strategic; large at Tactical in every setting, −6% to −21% cost), the FAOC comparison and the model ranking all held. Tables in each tier's write-up; Strategic/Tactical rows in </w:t>
      </w:r>
      <w:r>
        <w:rPr>
          <w:rFonts w:ascii="Consolas" w:hAnsi="Consolas"/>
          <w:sz w:val="19"/>
        </w:rPr>
        <w:t>models/results/short_horizon_sensitivity.csv</w:t>
      </w:r>
      <w:r>
        <w:rPr/>
        <w:t>.</w:t>
      </w:r>
    </w:p>
    <w:p>
      <w:pPr>
        <w:pStyle w:val="ListBullet"/>
        <w:spacing w:after="60"/>
      </w:pPr>
      <w:r>
        <w:rPr/>
        <w:t>Observed weather only; no forecasts.</w:t>
      </w:r>
    </w:p>
    <w:p>
      <w:pPr>
        <w:pStyle w:val="ListBullet"/>
        <w:spacing w:after="60"/>
      </w:pPr>
      <w:r>
        <w:rPr/>
        <w:t>One test window (2024–2025), and it is now spent.</w:t>
      </w:r>
    </w:p>
    <w:p>
      <w:pPr>
        <w:pStyle w:val="ListBullet"/>
        <w:spacing w:after="60"/>
      </w:pPr>
      <w:r>
        <w:rPr/>
        <w:t>Shadow mode is a historical replay, and like the stress tests and full KPI suite it was run at Planning only.</w:t>
      </w:r>
    </w:p>
    <w:p>
      <w:pPr>
        <w:pStyle w:val="ListBullet"/>
        <w:spacing w:after="60"/>
      </w:pPr>
      <w:r>
        <w:rPr/>
        <w:t>The three tiers are separate models; the paper's "hierarchical" framework has no coupling between tiers yet.</w:t>
      </w:r>
    </w:p>
    <w:p>
      <w:pPr>
        <w:pStyle w:val="ListBullet"/>
        <w:spacing w:after="60"/>
      </w:pPr>
      <w:r>
        <w:rPr/>
        <w:t>The Tactical clean-onset subset defines "before a program exists" as "no arrival held yet"; without ASPM Advisories the true issuance time is unknown, so some clean onsets may follow an issuance whose first held flights hadn't landed.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7"/>
      </w:rPr>
      <w:t>NAS-DisruptNet results · test set 2024–2025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34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421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21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21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