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6049B" w14:textId="22BCC919" w:rsidR="00957A0A" w:rsidRDefault="00000000">
      <w:pPr>
        <w:pStyle w:val="Title"/>
      </w:pPr>
      <w:proofErr w:type="spellStart"/>
      <w:r>
        <w:t>Agrivoice</w:t>
      </w:r>
      <w:proofErr w:type="spellEnd"/>
    </w:p>
    <w:p w14:paraId="632B8932" w14:textId="77777777" w:rsidR="00957A0A" w:rsidRDefault="00000000">
      <w:pPr>
        <w:spacing w:after="40"/>
      </w:pPr>
      <w:r>
        <w:rPr>
          <w:color w:val="5F7568"/>
          <w:sz w:val="28"/>
          <w:szCs w:val="28"/>
        </w:rPr>
        <w:t>Project Status Report</w:t>
      </w:r>
    </w:p>
    <w:p w14:paraId="183B29AB" w14:textId="77777777" w:rsidR="00957A0A" w:rsidRDefault="00000000">
      <w:pPr>
        <w:spacing w:after="240"/>
      </w:pPr>
      <w:r>
        <w:rPr>
          <w:i/>
          <w:iCs/>
          <w:color w:val="5F7568"/>
          <w:sz w:val="20"/>
          <w:szCs w:val="20"/>
        </w:rPr>
        <w:t>Crop disease detection model, diagnosis web app, and surveillance dashboard</w:t>
      </w:r>
    </w:p>
    <w:p w14:paraId="30BA4B2E" w14:textId="77777777" w:rsidR="00957A0A" w:rsidRDefault="00000000">
      <w:pPr>
        <w:pStyle w:val="Heading1"/>
      </w:pPr>
      <w:r>
        <w:t>1. Overview</w:t>
      </w:r>
    </w:p>
    <w:p w14:paraId="75E2F72E" w14:textId="77777777" w:rsidR="00957A0A" w:rsidRDefault="00000000">
      <w:pPr>
        <w:spacing w:after="120"/>
      </w:pPr>
      <w:r>
        <w:t>This project delivers an end-to-end crop disease detection system in three connected parts: (1) a deep-learning model that classifies plant leaf diseases from photographs, (2) a web application where users upload a leaf image and receive a diagnosis with treatment guidance, and (3) a regional surveillance dashboard that visualizes disease pressure, weather influence, early-warning alerts, and farmer-inquiry traffic across Kenya, Ethiopia, and Nigeria.</w:t>
      </w:r>
    </w:p>
    <w:p w14:paraId="1F3186E4" w14:textId="77777777" w:rsidR="00957A0A" w:rsidRDefault="00000000">
      <w:pPr>
        <w:spacing w:after="120"/>
      </w:pPr>
      <w:r>
        <w:t>The model and both application layers are functional. The remaining work is content (treatment text, translations) and go-live data wiring, none of which blocks a demonstration of the current system.</w:t>
      </w:r>
    </w:p>
    <w:p w14:paraId="4A1090F3" w14:textId="77777777" w:rsidR="00957A0A" w:rsidRDefault="00000000">
      <w:pPr>
        <w:pStyle w:val="Heading1"/>
      </w:pPr>
      <w:r>
        <w:t>2. Status at a glance</w:t>
      </w:r>
    </w:p>
    <w:tbl>
      <w:tblPr>
        <w:tblW w:w="5000" w:type="pct"/>
        <w:tblBorders>
          <w:top w:val="single" w:sz="2" w:space="0" w:color="D1FADF"/>
          <w:left w:val="single" w:sz="2" w:space="0" w:color="D1FADF"/>
          <w:bottom w:val="single" w:sz="2" w:space="0" w:color="D1FADF"/>
          <w:right w:val="single" w:sz="2" w:space="0" w:color="D1FADF"/>
          <w:insideH w:val="single" w:sz="1" w:space="0" w:color="D1FADF"/>
          <w:insideV w:val="single" w:sz="1" w:space="0" w:color="D1FAD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42"/>
        <w:gridCol w:w="1066"/>
        <w:gridCol w:w="5146"/>
      </w:tblGrid>
      <w:tr w:rsidR="00957A0A" w14:paraId="5C0145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95FD" w14:textId="77777777" w:rsidR="00957A0A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7F157" w14:textId="77777777" w:rsidR="00957A0A" w:rsidRDefault="00000000"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0" w:type="auto"/>
            <w:shd w:val="clear" w:color="auto" w:fill="14532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255C5" w14:textId="77777777" w:rsidR="00957A0A" w:rsidRDefault="00000000">
            <w:r>
              <w:rPr>
                <w:b/>
                <w:bCs/>
                <w:color w:val="FFFFFF"/>
                <w:sz w:val="18"/>
                <w:szCs w:val="18"/>
              </w:rPr>
              <w:t>Notes</w:t>
            </w:r>
          </w:p>
        </w:tc>
      </w:tr>
      <w:tr w:rsidR="00957A0A" w14:paraId="60D8BBD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5BF4E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38-class model (MobileNetV2)</w:t>
            </w:r>
          </w:p>
        </w:tc>
        <w:tc>
          <w:tcPr>
            <w:tcW w:w="0" w:type="auto"/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48F5A5" w14:textId="77777777" w:rsidR="00957A0A" w:rsidRDefault="00000000">
            <w:r>
              <w:rPr>
                <w:b/>
                <w:bCs/>
                <w:color w:val="27500A"/>
                <w:sz w:val="18"/>
                <w:szCs w:val="18"/>
              </w:rPr>
              <w:t>DONE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47A67" w14:textId="77777777" w:rsidR="00957A0A" w:rsidRDefault="00000000">
            <w:r>
              <w:rPr>
                <w:color w:val="444444"/>
                <w:sz w:val="18"/>
                <w:szCs w:val="18"/>
              </w:rPr>
              <w:t xml:space="preserve">99.74% </w:t>
            </w:r>
            <w:proofErr w:type="spellStart"/>
            <w:r>
              <w:rPr>
                <w:color w:val="444444"/>
                <w:sz w:val="18"/>
                <w:szCs w:val="18"/>
              </w:rPr>
              <w:t>val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accuracy; trained on full </w:t>
            </w:r>
            <w:proofErr w:type="spellStart"/>
            <w:r>
              <w:rPr>
                <w:color w:val="444444"/>
                <w:sz w:val="18"/>
                <w:szCs w:val="18"/>
              </w:rPr>
              <w:t>PlantVillage</w:t>
            </w:r>
            <w:proofErr w:type="spellEnd"/>
          </w:p>
        </w:tc>
      </w:tr>
      <w:tr w:rsidR="00957A0A" w14:paraId="54309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AB6C64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Model export (ONNX + int8)</w:t>
            </w:r>
          </w:p>
        </w:tc>
        <w:tc>
          <w:tcPr>
            <w:tcW w:w="0" w:type="auto"/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A1C22" w14:textId="77777777" w:rsidR="00957A0A" w:rsidRDefault="00000000">
            <w:r>
              <w:rPr>
                <w:b/>
                <w:bCs/>
                <w:color w:val="27500A"/>
                <w:sz w:val="18"/>
                <w:szCs w:val="18"/>
              </w:rPr>
              <w:t>DONE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C61C18" w14:textId="77777777" w:rsidR="00957A0A" w:rsidRDefault="00000000">
            <w:r>
              <w:rPr>
                <w:color w:val="444444"/>
                <w:sz w:val="18"/>
                <w:szCs w:val="18"/>
              </w:rPr>
              <w:t xml:space="preserve">2.4 MB int8 +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labels.json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>; validated 10/10 on spot-check</w:t>
            </w:r>
          </w:p>
        </w:tc>
      </w:tr>
      <w:tr w:rsidR="00957A0A" w14:paraId="771092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87D968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Diagnosis web app</w:t>
            </w:r>
          </w:p>
        </w:tc>
        <w:tc>
          <w:tcPr>
            <w:tcW w:w="0" w:type="auto"/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C54E2" w14:textId="77777777" w:rsidR="00957A0A" w:rsidRDefault="00000000">
            <w:r>
              <w:rPr>
                <w:b/>
                <w:bCs/>
                <w:color w:val="27500A"/>
                <w:sz w:val="18"/>
                <w:szCs w:val="18"/>
              </w:rPr>
              <w:t>DONE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11D5E" w14:textId="77777777" w:rsidR="00957A0A" w:rsidRDefault="00000000">
            <w:r>
              <w:rPr>
                <w:color w:val="444444"/>
                <w:sz w:val="18"/>
                <w:szCs w:val="18"/>
              </w:rPr>
              <w:t>Correct 38-class predictions; severity + confidence display</w:t>
            </w:r>
          </w:p>
        </w:tc>
      </w:tr>
      <w:tr w:rsidR="00957A0A" w14:paraId="35DF37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E3C6B5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Critical 'healthy' bug fix</w:t>
            </w:r>
          </w:p>
        </w:tc>
        <w:tc>
          <w:tcPr>
            <w:tcW w:w="0" w:type="auto"/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4ADCA8" w14:textId="77777777" w:rsidR="00957A0A" w:rsidRDefault="00000000">
            <w:r>
              <w:rPr>
                <w:b/>
                <w:bCs/>
                <w:color w:val="27500A"/>
                <w:sz w:val="18"/>
                <w:szCs w:val="18"/>
              </w:rPr>
              <w:t>DONE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FD6C6" w14:textId="77777777" w:rsidR="00957A0A" w:rsidRDefault="00000000">
            <w:r>
              <w:rPr>
                <w:color w:val="444444"/>
                <w:sz w:val="18"/>
                <w:szCs w:val="18"/>
              </w:rPr>
              <w:t>No longer mislabels diseased plants as healthy</w:t>
            </w:r>
          </w:p>
        </w:tc>
      </w:tr>
      <w:tr w:rsidR="00957A0A" w14:paraId="69718F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54C3F7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Surveillance dashboard</w:t>
            </w:r>
          </w:p>
        </w:tc>
        <w:tc>
          <w:tcPr>
            <w:tcW w:w="0" w:type="auto"/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EB5EC" w14:textId="77777777" w:rsidR="00957A0A" w:rsidRDefault="00000000">
            <w:r>
              <w:rPr>
                <w:b/>
                <w:bCs/>
                <w:color w:val="27500A"/>
                <w:sz w:val="18"/>
                <w:szCs w:val="18"/>
              </w:rPr>
              <w:t>DONE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5D462" w14:textId="77777777" w:rsidR="00957A0A" w:rsidRDefault="00000000">
            <w:r>
              <w:rPr>
                <w:color w:val="444444"/>
                <w:sz w:val="18"/>
                <w:szCs w:val="18"/>
              </w:rPr>
              <w:t>Live simulation, 4 panels, green theme, landing page</w:t>
            </w:r>
          </w:p>
        </w:tc>
      </w:tr>
      <w:tr w:rsidR="00957A0A" w14:paraId="12ACFB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9C8D1B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Routing (dashboard + diagnose)</w:t>
            </w:r>
          </w:p>
        </w:tc>
        <w:tc>
          <w:tcPr>
            <w:tcW w:w="0" w:type="auto"/>
            <w:shd w:val="clear" w:color="auto" w:fill="EAF3DE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E14D5" w14:textId="77777777" w:rsidR="00957A0A" w:rsidRDefault="00000000">
            <w:r>
              <w:rPr>
                <w:b/>
                <w:bCs/>
                <w:color w:val="27500A"/>
                <w:sz w:val="18"/>
                <w:szCs w:val="18"/>
              </w:rPr>
              <w:t>DONE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D208EC" w14:textId="77777777" w:rsidR="00957A0A" w:rsidRDefault="00000000">
            <w:r>
              <w:rPr>
                <w:color w:val="444444"/>
                <w:sz w:val="18"/>
                <w:szCs w:val="18"/>
              </w:rPr>
              <w:t>React Router; dashboard at '/', diagnose at '/diagnose'</w:t>
            </w:r>
          </w:p>
        </w:tc>
      </w:tr>
      <w:tr w:rsidR="00957A0A" w14:paraId="170A92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3A7A48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Regional heatmap</w:t>
            </w:r>
          </w:p>
        </w:tc>
        <w:tc>
          <w:tcPr>
            <w:tcW w:w="0" w:type="auto"/>
            <w:shd w:val="clear" w:color="auto" w:fill="E6F1FB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1E8E3" w14:textId="77777777" w:rsidR="00957A0A" w:rsidRDefault="00000000">
            <w:r>
              <w:rPr>
                <w:b/>
                <w:bCs/>
                <w:color w:val="0C447C"/>
                <w:sz w:val="18"/>
                <w:szCs w:val="18"/>
              </w:rPr>
              <w:t>PARTIAL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FFFF1" w14:textId="77777777" w:rsidR="00957A0A" w:rsidRDefault="00000000">
            <w:r>
              <w:rPr>
                <w:color w:val="444444"/>
                <w:sz w:val="18"/>
                <w:szCs w:val="18"/>
              </w:rPr>
              <w:t>Schematic map works; real geo map pending data cleanup</w:t>
            </w:r>
          </w:p>
        </w:tc>
      </w:tr>
      <w:tr w:rsidR="00957A0A" w14:paraId="401EE3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86E1A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Non-maize treatments (33)</w:t>
            </w:r>
          </w:p>
        </w:tc>
        <w:tc>
          <w:tcPr>
            <w:tcW w:w="0" w:type="auto"/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C4834E" w14:textId="77777777" w:rsidR="00957A0A" w:rsidRDefault="00000000">
            <w:r>
              <w:rPr>
                <w:b/>
                <w:bCs/>
                <w:color w:val="633806"/>
                <w:sz w:val="18"/>
                <w:szCs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E3974" w14:textId="77777777" w:rsidR="00957A0A" w:rsidRDefault="00000000">
            <w:r>
              <w:rPr>
                <w:color w:val="444444"/>
                <w:sz w:val="18"/>
                <w:szCs w:val="18"/>
              </w:rPr>
              <w:t>Placeholders; need authoritative agronomy source</w:t>
            </w:r>
          </w:p>
        </w:tc>
      </w:tr>
      <w:tr w:rsidR="00957A0A" w14:paraId="4DD41C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FEB6A6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Dashboard Swahili</w:t>
            </w:r>
          </w:p>
        </w:tc>
        <w:tc>
          <w:tcPr>
            <w:tcW w:w="0" w:type="auto"/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1F510" w14:textId="77777777" w:rsidR="00957A0A" w:rsidRDefault="00000000">
            <w:r>
              <w:rPr>
                <w:b/>
                <w:bCs/>
                <w:color w:val="633806"/>
                <w:sz w:val="18"/>
                <w:szCs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136345" w14:textId="77777777" w:rsidR="00957A0A" w:rsidRDefault="00000000">
            <w:r>
              <w:rPr>
                <w:color w:val="444444"/>
                <w:sz w:val="18"/>
                <w:szCs w:val="18"/>
              </w:rPr>
              <w:t>English-only for now, by design</w:t>
            </w:r>
          </w:p>
        </w:tc>
      </w:tr>
      <w:tr w:rsidR="00957A0A" w14:paraId="555909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5C945A" w14:textId="77777777" w:rsidR="00957A0A" w:rsidRDefault="00000000">
            <w:r>
              <w:rPr>
                <w:b/>
                <w:bCs/>
                <w:color w:val="222222"/>
                <w:sz w:val="18"/>
                <w:szCs w:val="18"/>
              </w:rPr>
              <w:t>Live data integration</w:t>
            </w:r>
          </w:p>
        </w:tc>
        <w:tc>
          <w:tcPr>
            <w:tcW w:w="0" w:type="auto"/>
            <w:shd w:val="clear" w:color="auto" w:fill="FAEE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41E6E" w14:textId="77777777" w:rsidR="00957A0A" w:rsidRDefault="00000000">
            <w:r>
              <w:rPr>
                <w:b/>
                <w:bCs/>
                <w:color w:val="633806"/>
                <w:sz w:val="18"/>
                <w:szCs w:val="18"/>
              </w:rPr>
              <w:t>TODO</w:t>
            </w:r>
          </w:p>
        </w:tc>
        <w:tc>
          <w:tcPr>
            <w:tcW w:w="0" w:type="auto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044B7" w14:textId="77777777" w:rsidR="00957A0A" w:rsidRDefault="00000000">
            <w:r>
              <w:rPr>
                <w:color w:val="444444"/>
                <w:sz w:val="18"/>
                <w:szCs w:val="18"/>
              </w:rPr>
              <w:t>Replace simulation with real API + /infer feed at go-live</w:t>
            </w:r>
          </w:p>
        </w:tc>
      </w:tr>
    </w:tbl>
    <w:p w14:paraId="53D812E5" w14:textId="77777777" w:rsidR="00957A0A" w:rsidRDefault="00000000">
      <w:pPr>
        <w:pStyle w:val="Heading1"/>
      </w:pPr>
      <w:r>
        <w:t>3. What has been done</w:t>
      </w:r>
    </w:p>
    <w:p w14:paraId="2359B69B" w14:textId="77777777" w:rsidR="00957A0A" w:rsidRDefault="00000000">
      <w:pPr>
        <w:pStyle w:val="Heading2"/>
      </w:pPr>
      <w:r>
        <w:t>3.1 Machine learning model</w:t>
      </w:r>
    </w:p>
    <w:p w14:paraId="43BF22DD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Scope expanded to 38 classes:</w:t>
      </w:r>
      <w:r>
        <w:t xml:space="preserve"> the model was retrained from an earlier 4-class maize classifier to cover the full </w:t>
      </w:r>
      <w:proofErr w:type="spellStart"/>
      <w:r>
        <w:t>PlantVillage</w:t>
      </w:r>
      <w:proofErr w:type="spellEnd"/>
      <w:r>
        <w:t xml:space="preserve"> dataset of 38 disease and healthy classes across 14 crops.</w:t>
      </w:r>
    </w:p>
    <w:p w14:paraId="16A947DD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Architecture:</w:t>
      </w:r>
      <w:r>
        <w:t xml:space="preserve"> an ImageNet-pretrained MobileNetV2 backbone with a replaced 38-class head, trained with class weighting, </w:t>
      </w:r>
      <w:proofErr w:type="spellStart"/>
      <w:r>
        <w:t>mixup</w:t>
      </w:r>
      <w:proofErr w:type="spellEnd"/>
      <w:r>
        <w:t>/</w:t>
      </w:r>
      <w:proofErr w:type="spellStart"/>
      <w:r>
        <w:t>cutmix</w:t>
      </w:r>
      <w:proofErr w:type="spellEnd"/>
      <w:r>
        <w:t xml:space="preserve"> augmentation, label smoothing, and a cosine learning-rate schedule.</w:t>
      </w:r>
    </w:p>
    <w:p w14:paraId="77369903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Performance:</w:t>
      </w:r>
      <w:r>
        <w:t xml:space="preserve"> the best model reached 99.74% validation accuracy. A confusion matrix confirmed that the few misclassifications are within-crop and between visually similar diseases (e.g. tomato early vs. late blight) — an agronomically sensible error profile rather than a systemic weakness.</w:t>
      </w:r>
    </w:p>
    <w:p w14:paraId="0498FCFB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lastRenderedPageBreak/>
        <w:t>Export and validation:</w:t>
      </w:r>
      <w:r>
        <w:t xml:space="preserve"> exported to ONNX (8.7 MB float) and an int8-quantized version (2.4 MB) suitable for the web app, with a </w:t>
      </w:r>
      <w:proofErr w:type="spellStart"/>
      <w:proofErr w:type="gramStart"/>
      <w:r>
        <w:t>labels.json</w:t>
      </w:r>
      <w:proofErr w:type="spellEnd"/>
      <w:proofErr w:type="gramEnd"/>
      <w:r>
        <w:t xml:space="preserve"> mapping output indices to disease names. A spot-check of held-out images returned 10/10 correct predictions on the quantized model.</w:t>
      </w:r>
    </w:p>
    <w:p w14:paraId="7C2DEA71" w14:textId="77777777" w:rsidR="00957A0A" w:rsidRDefault="00000000">
      <w:pPr>
        <w:spacing w:after="120"/>
      </w:pPr>
      <w:r>
        <w:rPr>
          <w:i/>
          <w:iCs/>
          <w:color w:val="5F7568"/>
          <w:sz w:val="20"/>
          <w:szCs w:val="20"/>
        </w:rPr>
        <w:t xml:space="preserve">Limitation (for the report): </w:t>
      </w:r>
      <w:proofErr w:type="spellStart"/>
      <w:r>
        <w:rPr>
          <w:i/>
          <w:iCs/>
          <w:color w:val="5F7568"/>
          <w:sz w:val="20"/>
          <w:szCs w:val="20"/>
        </w:rPr>
        <w:t>PlantVillage</w:t>
      </w:r>
      <w:proofErr w:type="spellEnd"/>
      <w:r>
        <w:rPr>
          <w:i/>
          <w:iCs/>
          <w:color w:val="5F7568"/>
          <w:sz w:val="20"/>
          <w:szCs w:val="20"/>
        </w:rPr>
        <w:t xml:space="preserve"> images are lab-captured (single leaf, uniform background). The 99.74% figure reflects lab conditions; accuracy on real field photographs will be lower. This is a known property of the dataset and should be stated explicitly.</w:t>
      </w:r>
    </w:p>
    <w:p w14:paraId="0887F946" w14:textId="77777777" w:rsidR="00957A0A" w:rsidRDefault="00000000">
      <w:pPr>
        <w:pStyle w:val="Heading2"/>
      </w:pPr>
      <w:r>
        <w:t>3.2 Diagnosis web application</w:t>
      </w:r>
    </w:p>
    <w:p w14:paraId="6372AE98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Stack:</w:t>
      </w:r>
      <w:r>
        <w:t xml:space="preserve"> a Node/Express backend loads the ONNX model and serves predictions at a /infer endpoint; a React + TypeScript frontend handles image upload, preview, and result display.</w:t>
      </w:r>
    </w:p>
    <w:p w14:paraId="41A0F7F4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Critical bug fixed:</w:t>
      </w:r>
      <w:r>
        <w:t xml:space="preserve"> the frontend previously defaulted any unrecognized prediction to “Healthy,” which caused a diseased plant to be reported as healthy — the most harmful possible failure for a diagnosis tool. This was removed; unrecognized results now surface explicitly and never default </w:t>
      </w:r>
      <w:proofErr w:type="gramStart"/>
      <w:r>
        <w:t>to</w:t>
      </w:r>
      <w:proofErr w:type="gramEnd"/>
      <w:r>
        <w:t xml:space="preserve"> healthy.</w:t>
      </w:r>
    </w:p>
    <w:p w14:paraId="57551359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38-class support:</w:t>
      </w:r>
      <w:r>
        <w:t xml:space="preserve"> all 38 classes now display correct names; preprocessing (ImageNet normalization, 224×224, RGB, CHW) matches the training pipeline; severity and confidence are shown, with a low-confidence hedge advising the user to retake the photo or consult an expert.</w:t>
      </w:r>
    </w:p>
    <w:p w14:paraId="75D410A6" w14:textId="77777777" w:rsidR="00957A0A" w:rsidRDefault="00000000">
      <w:pPr>
        <w:pStyle w:val="Heading2"/>
      </w:pPr>
      <w:r>
        <w:t>3.3 Surveillance dashboard</w:t>
      </w:r>
    </w:p>
    <w:p w14:paraId="638FAFE8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Simulation engine:</w:t>
      </w:r>
      <w:r>
        <w:t xml:space="preserve"> a seeded simulation engine produces correlated, live-updating time-series — humid regions trend toward higher fungal pressure, outbreaks cluster within a country, and farmer-inquiry volume rises after alerts fire. Designed so real API data of the same shape can replace it </w:t>
      </w:r>
      <w:proofErr w:type="spellStart"/>
      <w:r>
        <w:t>at</w:t>
      </w:r>
      <w:proofErr w:type="spellEnd"/>
      <w:r>
        <w:t xml:space="preserve"> go-live.</w:t>
      </w:r>
    </w:p>
    <w:p w14:paraId="1A5C3E03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Four panels:</w:t>
      </w:r>
      <w:r>
        <w:t xml:space="preserve"> a regional disease-spread heatmap (using real ADM1 region names for the three countries), a weather-to-pressure trend chart with numeric readouts, an auto-firing early-warning alert feed with severity tiers, and a farmer-inquiry traffic panel with trending diseases.</w:t>
      </w:r>
    </w:p>
    <w:p w14:paraId="5FC3ADB0" w14:textId="77777777" w:rsidR="00957A0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Integration:</w:t>
      </w:r>
      <w:r>
        <w:t xml:space="preserve"> the dashboard is styled to match the existing </w:t>
      </w:r>
      <w:proofErr w:type="spellStart"/>
      <w:r>
        <w:t>Agrivoice</w:t>
      </w:r>
      <w:proofErr w:type="spellEnd"/>
      <w:r>
        <w:t xml:space="preserve"> green theme and is set as the landing page; the diagnosis tool sits on a second route. Navigation is via the header.</w:t>
      </w:r>
    </w:p>
    <w:p w14:paraId="70EB2668" w14:textId="77777777" w:rsidR="00957A0A" w:rsidRDefault="00000000">
      <w:pPr>
        <w:pStyle w:val="Heading1"/>
      </w:pPr>
      <w:r>
        <w:t>4. What remains to be done</w:t>
      </w:r>
    </w:p>
    <w:p w14:paraId="082D4C16" w14:textId="77777777" w:rsidR="00957A0A" w:rsidRDefault="00000000">
      <w:pPr>
        <w:pStyle w:val="Heading2"/>
      </w:pPr>
      <w:r>
        <w:t>4.1 Content (not blocking, but needed for real use)</w:t>
      </w:r>
    </w:p>
    <w:p w14:paraId="4CCC9579" w14:textId="77777777" w:rsidR="00957A0A" w:rsidRDefault="00000000">
      <w:pPr>
        <w:pStyle w:val="ListParagraph"/>
        <w:numPr>
          <w:ilvl w:val="0"/>
          <w:numId w:val="3"/>
        </w:numPr>
        <w:spacing w:after="60"/>
      </w:pPr>
      <w:r>
        <w:t>Treatment text for the 33 non-maize disease classes. These are currently clearly-marked placeholders. They must be filled from an authoritative agronomy source (e.g. an extension-service reference or a body such as CABI/FAO). Treatment advice must not be invented, as incorrect guidance on a real crop can cause harm. The four maize classes already have complete treatment content.</w:t>
      </w:r>
    </w:p>
    <w:p w14:paraId="5F8F269C" w14:textId="77777777" w:rsidR="00957A0A" w:rsidRDefault="00000000">
      <w:pPr>
        <w:pStyle w:val="ListParagraph"/>
        <w:numPr>
          <w:ilvl w:val="0"/>
          <w:numId w:val="3"/>
        </w:numPr>
        <w:spacing w:after="60"/>
      </w:pPr>
      <w:r>
        <w:t>Swahili translations for the non-maize disease names, descriptions, and treatments. The maize content and all core UI are already bilingual (English/Swahili). The dashboard is English-only by design for now.</w:t>
      </w:r>
    </w:p>
    <w:p w14:paraId="11C91ED8" w14:textId="77777777" w:rsidR="00957A0A" w:rsidRDefault="00000000">
      <w:pPr>
        <w:pStyle w:val="ListParagraph"/>
        <w:numPr>
          <w:ilvl w:val="0"/>
          <w:numId w:val="3"/>
        </w:numPr>
        <w:spacing w:after="60"/>
      </w:pPr>
      <w:proofErr w:type="spellStart"/>
      <w:r>
        <w:t>geoBoundaries</w:t>
      </w:r>
      <w:proofErr w:type="spellEnd"/>
      <w:r>
        <w:t xml:space="preserve"> attribution. The map uses </w:t>
      </w:r>
      <w:proofErr w:type="spellStart"/>
      <w:r>
        <w:t>geoBoundaries</w:t>
      </w:r>
      <w:proofErr w:type="spellEnd"/>
      <w:r>
        <w:t xml:space="preserve"> data (CC-BY 4.0), which requires an attribution line such as “Administrative boundaries: </w:t>
      </w:r>
      <w:proofErr w:type="spellStart"/>
      <w:r>
        <w:t>geoBoundaries</w:t>
      </w:r>
      <w:proofErr w:type="spellEnd"/>
      <w:r>
        <w:t xml:space="preserve"> (Runfola et al., 2020)” in the footer or report.</w:t>
      </w:r>
    </w:p>
    <w:p w14:paraId="6BB0F4B8" w14:textId="77777777" w:rsidR="00957A0A" w:rsidRDefault="00000000">
      <w:pPr>
        <w:pStyle w:val="Heading2"/>
      </w:pPr>
      <w:r>
        <w:lastRenderedPageBreak/>
        <w:t>4.2 Technical (for go-live)</w:t>
      </w:r>
    </w:p>
    <w:p w14:paraId="7EA93625" w14:textId="77777777" w:rsidR="00957A0A" w:rsidRDefault="00000000">
      <w:pPr>
        <w:pStyle w:val="ListParagraph"/>
        <w:numPr>
          <w:ilvl w:val="0"/>
          <w:numId w:val="3"/>
        </w:numPr>
        <w:spacing w:after="60"/>
      </w:pPr>
      <w:r>
        <w:t xml:space="preserve">Real geographic map. The dashboard currently uses a reliable schematic map (country zones with colored region markers). A true geographic choropleth was attempted but the source </w:t>
      </w:r>
      <w:proofErr w:type="spellStart"/>
      <w:r>
        <w:t>GeoJSON</w:t>
      </w:r>
      <w:proofErr w:type="spellEnd"/>
      <w:r>
        <w:t xml:space="preserve"> contained a malformed feature that broke the map projection; this can be swapped back in once the data file is cleaned.</w:t>
      </w:r>
    </w:p>
    <w:p w14:paraId="3C8F1AA9" w14:textId="77777777" w:rsidR="00957A0A" w:rsidRDefault="00000000">
      <w:pPr>
        <w:pStyle w:val="ListParagraph"/>
        <w:numPr>
          <w:ilvl w:val="0"/>
          <w:numId w:val="3"/>
        </w:numPr>
        <w:spacing w:after="60"/>
      </w:pPr>
      <w:r>
        <w:t>Live data feed. At launch, replace the simulation engine's output with real surveillance data of the same structure.</w:t>
      </w:r>
    </w:p>
    <w:p w14:paraId="58FE8A8D" w14:textId="77777777" w:rsidR="00957A0A" w:rsidRDefault="00000000">
      <w:pPr>
        <w:pStyle w:val="ListParagraph"/>
        <w:numPr>
          <w:ilvl w:val="0"/>
          <w:numId w:val="3"/>
        </w:numPr>
        <w:spacing w:after="60"/>
      </w:pPr>
      <w:r>
        <w:t>Connect real diagnoses to the dashboard. Every farmer diagnosis from the /infer endpoint should feed the dashboard's farmer-inquiry-traffic panel, turning the simulated traffic into real usage signals.</w:t>
      </w:r>
    </w:p>
    <w:p w14:paraId="3816362A" w14:textId="77777777" w:rsidR="00957A0A" w:rsidRDefault="00000000">
      <w:pPr>
        <w:pStyle w:val="ListParagraph"/>
        <w:numPr>
          <w:ilvl w:val="0"/>
          <w:numId w:val="3"/>
        </w:numPr>
        <w:spacing w:after="60"/>
      </w:pPr>
      <w:r>
        <w:t>Deployment configuration. For the planned subdomain, the host must serve index.html for all routes (SPA fallback) so that refreshing on /diagnose does not return a 404.</w:t>
      </w:r>
    </w:p>
    <w:p w14:paraId="3A5D40D7" w14:textId="77777777" w:rsidR="00957A0A" w:rsidRDefault="00000000">
      <w:pPr>
        <w:spacing w:before="360"/>
      </w:pPr>
      <w:r>
        <w:rPr>
          <w:i/>
          <w:iCs/>
          <w:color w:val="5F7568"/>
          <w:sz w:val="18"/>
          <w:szCs w:val="18"/>
        </w:rPr>
        <w:t>Generated as a working status summary. The model checkpoint, ONNX exports, and application source files are the project's primary deliverables.</w:t>
      </w:r>
    </w:p>
    <w:sectPr w:rsidR="00957A0A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4068C"/>
    <w:multiLevelType w:val="hybridMultilevel"/>
    <w:tmpl w:val="A8CAE816"/>
    <w:lvl w:ilvl="0" w:tplc="2BDE41C4">
      <w:start w:val="1"/>
      <w:numFmt w:val="bullet"/>
      <w:lvlText w:val="•"/>
      <w:lvlJc w:val="left"/>
      <w:pPr>
        <w:ind w:left="540" w:hanging="280"/>
      </w:pPr>
    </w:lvl>
    <w:lvl w:ilvl="1" w:tplc="92AC71C0">
      <w:numFmt w:val="decimal"/>
      <w:lvlText w:val=""/>
      <w:lvlJc w:val="left"/>
    </w:lvl>
    <w:lvl w:ilvl="2" w:tplc="62FAAF12">
      <w:numFmt w:val="decimal"/>
      <w:lvlText w:val=""/>
      <w:lvlJc w:val="left"/>
    </w:lvl>
    <w:lvl w:ilvl="3" w:tplc="CD2E0992">
      <w:numFmt w:val="decimal"/>
      <w:lvlText w:val=""/>
      <w:lvlJc w:val="left"/>
    </w:lvl>
    <w:lvl w:ilvl="4" w:tplc="78F6E7D8">
      <w:numFmt w:val="decimal"/>
      <w:lvlText w:val=""/>
      <w:lvlJc w:val="left"/>
    </w:lvl>
    <w:lvl w:ilvl="5" w:tplc="ED7E88F6">
      <w:numFmt w:val="decimal"/>
      <w:lvlText w:val=""/>
      <w:lvlJc w:val="left"/>
    </w:lvl>
    <w:lvl w:ilvl="6" w:tplc="C8643D0C">
      <w:numFmt w:val="decimal"/>
      <w:lvlText w:val=""/>
      <w:lvlJc w:val="left"/>
    </w:lvl>
    <w:lvl w:ilvl="7" w:tplc="6492C848">
      <w:numFmt w:val="decimal"/>
      <w:lvlText w:val=""/>
      <w:lvlJc w:val="left"/>
    </w:lvl>
    <w:lvl w:ilvl="8" w:tplc="2DE079EA">
      <w:numFmt w:val="decimal"/>
      <w:lvlText w:val=""/>
      <w:lvlJc w:val="left"/>
    </w:lvl>
  </w:abstractNum>
  <w:abstractNum w:abstractNumId="1" w15:restartNumberingAfterBreak="0">
    <w:nsid w:val="3F9031CE"/>
    <w:multiLevelType w:val="hybridMultilevel"/>
    <w:tmpl w:val="DEC6D62C"/>
    <w:lvl w:ilvl="0" w:tplc="DE90C24C">
      <w:start w:val="1"/>
      <w:numFmt w:val="bullet"/>
      <w:lvlText w:val="●"/>
      <w:lvlJc w:val="left"/>
      <w:pPr>
        <w:ind w:left="720" w:hanging="360"/>
      </w:pPr>
    </w:lvl>
    <w:lvl w:ilvl="1" w:tplc="953E04C4">
      <w:start w:val="1"/>
      <w:numFmt w:val="bullet"/>
      <w:lvlText w:val="○"/>
      <w:lvlJc w:val="left"/>
      <w:pPr>
        <w:ind w:left="1440" w:hanging="360"/>
      </w:pPr>
    </w:lvl>
    <w:lvl w:ilvl="2" w:tplc="39A83FFE">
      <w:start w:val="1"/>
      <w:numFmt w:val="bullet"/>
      <w:lvlText w:val="■"/>
      <w:lvlJc w:val="left"/>
      <w:pPr>
        <w:ind w:left="2160" w:hanging="360"/>
      </w:pPr>
    </w:lvl>
    <w:lvl w:ilvl="3" w:tplc="5220E918">
      <w:start w:val="1"/>
      <w:numFmt w:val="bullet"/>
      <w:lvlText w:val="●"/>
      <w:lvlJc w:val="left"/>
      <w:pPr>
        <w:ind w:left="2880" w:hanging="360"/>
      </w:pPr>
    </w:lvl>
    <w:lvl w:ilvl="4" w:tplc="E99EF776">
      <w:start w:val="1"/>
      <w:numFmt w:val="bullet"/>
      <w:lvlText w:val="○"/>
      <w:lvlJc w:val="left"/>
      <w:pPr>
        <w:ind w:left="3600" w:hanging="360"/>
      </w:pPr>
    </w:lvl>
    <w:lvl w:ilvl="5" w:tplc="213A0264">
      <w:start w:val="1"/>
      <w:numFmt w:val="bullet"/>
      <w:lvlText w:val="■"/>
      <w:lvlJc w:val="left"/>
      <w:pPr>
        <w:ind w:left="4320" w:hanging="360"/>
      </w:pPr>
    </w:lvl>
    <w:lvl w:ilvl="6" w:tplc="2CEE2A32">
      <w:start w:val="1"/>
      <w:numFmt w:val="bullet"/>
      <w:lvlText w:val="●"/>
      <w:lvlJc w:val="left"/>
      <w:pPr>
        <w:ind w:left="5040" w:hanging="360"/>
      </w:pPr>
    </w:lvl>
    <w:lvl w:ilvl="7" w:tplc="29FAE0DC">
      <w:start w:val="1"/>
      <w:numFmt w:val="bullet"/>
      <w:lvlText w:val="●"/>
      <w:lvlJc w:val="left"/>
      <w:pPr>
        <w:ind w:left="5760" w:hanging="360"/>
      </w:pPr>
    </w:lvl>
    <w:lvl w:ilvl="8" w:tplc="E720703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4373863"/>
    <w:multiLevelType w:val="hybridMultilevel"/>
    <w:tmpl w:val="C324F384"/>
    <w:lvl w:ilvl="0" w:tplc="C922C986">
      <w:start w:val="1"/>
      <w:numFmt w:val="decimal"/>
      <w:lvlText w:val="%1."/>
      <w:lvlJc w:val="left"/>
      <w:pPr>
        <w:ind w:left="540" w:hanging="280"/>
      </w:pPr>
    </w:lvl>
    <w:lvl w:ilvl="1" w:tplc="CEBC9B56">
      <w:numFmt w:val="decimal"/>
      <w:lvlText w:val=""/>
      <w:lvlJc w:val="left"/>
    </w:lvl>
    <w:lvl w:ilvl="2" w:tplc="BBD4354E">
      <w:numFmt w:val="decimal"/>
      <w:lvlText w:val=""/>
      <w:lvlJc w:val="left"/>
    </w:lvl>
    <w:lvl w:ilvl="3" w:tplc="659CA688">
      <w:numFmt w:val="decimal"/>
      <w:lvlText w:val=""/>
      <w:lvlJc w:val="left"/>
    </w:lvl>
    <w:lvl w:ilvl="4" w:tplc="62F84290">
      <w:numFmt w:val="decimal"/>
      <w:lvlText w:val=""/>
      <w:lvlJc w:val="left"/>
    </w:lvl>
    <w:lvl w:ilvl="5" w:tplc="F2868F60">
      <w:numFmt w:val="decimal"/>
      <w:lvlText w:val=""/>
      <w:lvlJc w:val="left"/>
    </w:lvl>
    <w:lvl w:ilvl="6" w:tplc="CF2204B0">
      <w:numFmt w:val="decimal"/>
      <w:lvlText w:val=""/>
      <w:lvlJc w:val="left"/>
    </w:lvl>
    <w:lvl w:ilvl="7" w:tplc="43F43DA2">
      <w:numFmt w:val="decimal"/>
      <w:lvlText w:val=""/>
      <w:lvlJc w:val="left"/>
    </w:lvl>
    <w:lvl w:ilvl="8" w:tplc="D360A32A">
      <w:numFmt w:val="decimal"/>
      <w:lvlText w:val=""/>
      <w:lvlJc w:val="left"/>
    </w:lvl>
  </w:abstractNum>
  <w:num w:numId="1" w16cid:durableId="1325166930">
    <w:abstractNumId w:val="1"/>
    <w:lvlOverride w:ilvl="0">
      <w:startOverride w:val="1"/>
    </w:lvlOverride>
  </w:num>
  <w:num w:numId="2" w16cid:durableId="1138917249">
    <w:abstractNumId w:val="0"/>
    <w:lvlOverride w:ilvl="0">
      <w:startOverride w:val="1"/>
    </w:lvlOverride>
  </w:num>
  <w:num w:numId="3" w16cid:durableId="35457913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A0A"/>
    <w:rsid w:val="00507208"/>
    <w:rsid w:val="00957A0A"/>
    <w:rsid w:val="00EB0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8192A"/>
  <w15:docId w15:val="{032BDB66-EF2A-4014-920D-58141E505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4532D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6A34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4532D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943</Words>
  <Characters>5378</Characters>
  <Application>Microsoft Office Word</Application>
  <DocSecurity>0</DocSecurity>
  <Lines>44</Lines>
  <Paragraphs>12</Paragraphs>
  <ScaleCrop>false</ScaleCrop>
  <Company/>
  <LinksUpToDate>false</LinksUpToDate>
  <CharactersWithSpaces>6309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Ian Ondieki</cp:lastModifiedBy>
  <cp:revision>2</cp:revision>
  <dcterms:created xsi:type="dcterms:W3CDTF">2026-05-31T17:10:00Z</dcterms:created>
  <dcterms:modified xsi:type="dcterms:W3CDTF">2026-05-31T17:16:00Z</dcterms:modified>
</cp:coreProperties>
</file>