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4A882"/>
                <w:sz w:val="18"/>
                <w:szCs w:val="18"/>
              </w:rPr>
              <w:t xml:space="preserve">LEGAL / FINANCIAL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Entity Formation &amp; Ownership Document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4A882"/>
                <w:sz w:val="22"/>
                <w:szCs w:val="22"/>
              </w:rPr>
              <w:t xml:space="preserve">LLC setup, EIN, banking, cap table — do this before you take a dollar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3B1F0E"/>
                <w:sz w:val="22"/>
                <w:szCs w:val="22"/>
              </w:rPr>
              <w:t xml:space="preserve">⚠️  IMPORTANT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Complete this before accepting your first payment. Mixing personal and business finances creates tax and liability problems that are expensive to fix later.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1. Entity Formation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Recommended Structure: Single-Member LLC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 Single-Member LLC gives you personal liability protection (your personal assets cannot be seized to pay business debts) with minimal setup cost and paperwork. As a student in Texas, this is the right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200"/>
        <w:gridCol w:w="3160"/>
      </w:tblGrid>
      <w:tr>
        <w:trPr>
          <w:tblHeader/>
        </w:trPr>
        <w:tc>
          <w:tcPr>
            <w:tcW w:type="dxa" w:w="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File LLC with Texas Secretary of State at sos.texas.gov/corp/forms_boc.shtml</w:t>
            </w:r>
          </w:p>
        </w:tc>
        <w:tc>
          <w:tcPr>
            <w:tcW w:type="dxa" w:w="1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$308</w:t>
            </w:r>
          </w:p>
        </w:tc>
        <w:tc>
          <w:tcPr>
            <w:tcW w:type="dxa" w:w="3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1-2 weeks</w:t>
            </w:r>
          </w:p>
        </w:tc>
      </w:tr>
      <w:tr>
        <w:tc>
          <w:tcPr>
            <w:tcW w:type="dxa" w:w="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Get a registered agent (optional — you can be your own if you have a TX address)</w:t>
            </w:r>
          </w:p>
        </w:tc>
        <w:tc>
          <w:tcPr>
            <w:tcW w:type="dxa" w:w="1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$0-50/year</w:t>
            </w:r>
          </w:p>
        </w:tc>
        <w:tc>
          <w:tcPr>
            <w:tcW w:type="dxa" w:w="3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Get an EIN (Employer Identification Number) from IRS.gov/ein</w:t>
            </w:r>
          </w:p>
        </w:tc>
        <w:tc>
          <w:tcPr>
            <w:tcW w:type="dxa" w:w="1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Open a business bank account (Mercury.com recommended — free, no fees)</w:t>
            </w:r>
          </w:p>
        </w:tc>
        <w:tc>
          <w:tcPr>
            <w:tcW w:type="dxa" w:w="1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1-3 days</w:t>
            </w:r>
          </w:p>
        </w:tc>
      </w:tr>
      <w:tr>
        <w:tc>
          <w:tcPr>
            <w:tcW w:type="dxa" w:w="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Get a business debit/credit card (Mercury or Stripe Issuing)</w:t>
            </w:r>
          </w:p>
        </w:tc>
        <w:tc>
          <w:tcPr>
            <w:tcW w:type="dxa" w:w="1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With bank account</w:t>
            </w:r>
          </w:p>
        </w:tc>
      </w:tr>
      <w:tr>
        <w:tc>
          <w:tcPr>
            <w:tcW w:type="dxa" w:w="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Set up QuickBooks Simple Start or Wave (free) for bookkeeping</w:t>
            </w:r>
          </w:p>
        </w:tc>
        <w:tc>
          <w:tcPr>
            <w:tcW w:type="dxa" w:w="12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$0-15/month</w:t>
            </w:r>
          </w:p>
        </w:tc>
        <w:tc>
          <w:tcPr>
            <w:tcW w:type="dxa" w:w="3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1 hour</w:t>
            </w:r>
          </w:p>
        </w:tc>
      </w:tr>
    </w:tbl>
    <w:p>
      <w:pPr>
        <w:spacing w:after="8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Texas LLC Specifics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File: Certificate of Formation (Form 205) at sos.texas.gov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Annual report: Texas does not require annual reports but does require a franchise tax report (due May 15 each year)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Franchise tax: if revenue &lt; $2.47M/year, you file a "No Tax Due" report — no payment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Operating agreement: not legally required in Texas but strongly recommended — document who owns what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2. Cap Table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 cap table records who owns what percentage of the company. Even as a solo founder, document this now. It becomes critical the moment you want to bring in a co-founder, investor, or advisor.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A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3B1F0E"/>
                <w:sz w:val="22"/>
                <w:szCs w:val="22"/>
              </w:rPr>
              <w:t xml:space="preserve">📊  Current Cap Table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As of: May 16, 2026</w:t>
            </w:r>
          </w:p>
        </w:tc>
      </w:tr>
    </w:tbl>
    <w:p>
      <w:pPr>
        <w:spacing w:after="60" w:before="6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1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Ownership %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Class</w:t>
            </w:r>
          </w:p>
        </w:tc>
        <w:tc>
          <w:tcPr>
            <w:tcW w:type="dxa" w:w="2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Founder &amp; CEO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Common</w:t>
            </w:r>
          </w:p>
        </w:tc>
        <w:tc>
          <w:tcPr>
            <w:tcW w:type="dxa" w:w="2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Founder shares — no vesting required as sole founder</w:t>
            </w:r>
          </w:p>
        </w:tc>
      </w:tr>
      <w:tr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[Reserved]</w:t>
            </w:r>
          </w:p>
        </w:tc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Future Co-Founder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0% (reserved)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Common</w:t>
            </w:r>
          </w:p>
        </w:tc>
        <w:tc>
          <w:tcPr>
            <w:tcW w:type="dxa" w:w="2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Reserve 0-20% if you bring on a co-founder</w:t>
            </w:r>
          </w:p>
        </w:tc>
      </w:tr>
      <w:tr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[Reserved]</w:t>
            </w:r>
          </w:p>
        </w:tc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Option Pool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0% (reserved)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Options</w:t>
            </w:r>
          </w:p>
        </w:tc>
        <w:tc>
          <w:tcPr>
            <w:tcW w:type="dxa" w:w="2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Reserve 10-15% for future employees/advisors</w:t>
            </w:r>
          </w:p>
        </w:tc>
      </w:tr>
      <w:tr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[Reserved]</w:t>
            </w:r>
          </w:p>
        </w:tc>
        <w:tc>
          <w:tcPr>
            <w:tcW w:type="dxa" w:w="20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Investors</w:t>
            </w:r>
          </w:p>
        </w:tc>
        <w:tc>
          <w:tcPr>
            <w:tcW w:type="dxa" w:w="16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0% (reserved)</w:t>
            </w:r>
          </w:p>
        </w:tc>
        <w:tc>
          <w:tcPr>
            <w:tcW w:type="dxa" w:w="18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Preferred</w:t>
            </w:r>
          </w:p>
        </w:tc>
        <w:tc>
          <w:tcPr>
            <w:tcW w:type="dxa" w:w="21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Reserve if you raise funding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3. IP Ownership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Confirm that Onara owns all IP before accepting money from anyone: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All code written by you: owned by the LLC upon formation (document this in the operating agreement)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All code written by contractors: covered by the Contractor IP Agreement (Doc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Domain name (onara.tech): should be registered to the LLC, not your personal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GitHub repos: transfer ownership from personal account to an org account named after the LLC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Supabase project: add the business email as the primary account owner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4. Financial Hygiene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Rules to follow from day one — these save you enormous headaches at tax time: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Never pay personal expenses from the business account — even small 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Never pay business expenses from your personal account — reimburse yourself via a proper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Pay yourself a salary or owner's draw monthly — even if it is $0 for the first months, record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Keep all receipts — every subscription (Supabase, Vercel, Stripe fees, domain) is a deductible business expense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Separate credit card for business use only — this makes expense tracking automatic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5. Tax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Filing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January 31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Send 1099-NEC to any contractor paid &gt; $600 in prior year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April 15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Personal income tax (Schedule C includes LLC income if single-member)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May 15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Texas franchise tax "No Tax Due" report (if under $2.47M revenue)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Quarterly (Apr/Jun/Sep/Jan)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Estimated tax payments to IRS if you expect to owe &gt; $1,000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Ongoing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Keep records of all income and expenses — minimum 3 years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80"/>
      <w:outlineLvl w:val="0"/>
    </w:pPr>
    <w:rPr>
      <w:rFonts w:ascii="Arial" w:cs="Arial" w:eastAsia="Arial" w:hAnsi="Arial"/>
      <w:b/>
      <w:bCs/>
      <w:color w:val="3B1F0E"/>
      <w:sz w:val="38"/>
      <w:szCs w:val="38"/>
    </w:rPr>
  </w:style>
  <w:style w:type="paragraph" w:styleId="Heading2">
    <w:name w:val="Heading 2"/>
    <w:basedOn w:val="Normal"/>
    <w:next w:val="Normal"/>
    <w:pPr>
      <w:spacing w:after="140" w:before="320"/>
      <w:outlineLvl w:val="1"/>
    </w:pPr>
    <w:rPr>
      <w:rFonts w:ascii="Arial" w:cs="Arial" w:eastAsia="Arial" w:hAnsi="Arial"/>
      <w:b/>
      <w:bCs/>
      <w:color w:val="6B3F20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3B1F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2026-05-16T16:47:21.472Z</dcterms:created>
  <dcterms:modified xsi:type="dcterms:W3CDTF">2026-05-16T16:47:21.472Z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