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3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ітераційними методами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.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Метод простої ітерації. Метод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Зейделя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701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711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711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711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711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711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keepNext w:val="true"/>
        <w:pBdr/>
        <w:spacing w:after="60" w:before="240"/>
        <w:ind w:firstLine="709" w:left="707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 xml:space="preserve">1 Постановка задачі</w:t>
      </w:r>
      <w:r>
        <w:rPr>
          <w:rFonts w:ascii="Arial" w:hAnsi="Arial" w:eastAsia="Arial" w:cs="Arial"/>
          <w:b/>
          <w:color w:val="000000"/>
          <w:sz w:val="26"/>
          <w:szCs w:val="26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Якщо матриця не є матрицею із діагональною перевагою, звести систему до еквівалентної, у якій є діагональна перевага. Можна, наприклад, провести одну ітерацію метода Гауса, </w:t>
      </w:r>
      <w:r>
        <w:rPr>
          <w:sz w:val="24"/>
          <w:szCs w:val="24"/>
        </w:rPr>
        <w:t xml:space="preserve">зкомбінувавши</w:t>
      </w:r>
      <w:r>
        <w:rPr>
          <w:sz w:val="24"/>
          <w:szCs w:val="24"/>
        </w:rPr>
        <w:t xml:space="preserve"> рядки з метою отримати нульовий недіагональний елемент у стовпчику.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Розробити програму, що реалізує розв’язання системи методом простої ітерації та методом </w:t>
      </w:r>
      <w:r>
        <w:rPr>
          <w:sz w:val="24"/>
          <w:szCs w:val="24"/>
        </w:rPr>
        <w:t xml:space="preserve">Зейделя</w:t>
      </w:r>
      <w:r>
        <w:rPr>
          <w:sz w:val="24"/>
          <w:szCs w:val="24"/>
        </w:rPr>
        <w:t xml:space="preserve">. Обчислення проводити з </w:t>
      </w:r>
      <w:r>
        <w:rPr>
          <w:sz w:val="24"/>
          <w:szCs w:val="24"/>
        </w:rPr>
        <w:t xml:space="preserve">з</w:t>
      </w:r>
      <w:r>
        <w:rPr>
          <w:sz w:val="24"/>
          <w:szCs w:val="24"/>
        </w:rPr>
        <w:t xml:space="preserve"> кількістю значущих цифр m = 6. Для кожної ітерації розраховувати нев’язку </w:t>
      </w:r>
      <w:r>
        <w:rPr>
          <w:b/>
          <w:i/>
          <w:sz w:val="24"/>
          <w:szCs w:val="24"/>
        </w:rPr>
        <w:t xml:space="preserve">r = b – </w:t>
      </w:r>
      <w:r>
        <w:rPr>
          <w:b/>
          <w:i/>
          <w:sz w:val="24"/>
          <w:szCs w:val="24"/>
        </w:rPr>
        <w:t xml:space="preserve">Ax</w:t>
      </w:r>
      <w:r>
        <w:rPr>
          <w:sz w:val="24"/>
          <w:szCs w:val="24"/>
        </w:rPr>
        <w:t xml:space="preserve">, де x – отриманий розв’язок.</w:t>
      </w:r>
      <w:r>
        <w:rPr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Розв’язати задану систему рівнянь за допомогою програмного забезпечення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. Навести результат перевірки: вектор </w:t>
      </w:r>
      <w:r>
        <w:rPr>
          <w:sz w:val="24"/>
          <w:szCs w:val="24"/>
        </w:rPr>
        <w:t xml:space="preserve">нев’язки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 = b – </w:t>
      </w:r>
      <w:r>
        <w:rPr>
          <w:b/>
          <w:sz w:val="24"/>
          <w:szCs w:val="24"/>
        </w:rPr>
        <w:t xml:space="preserve">Axm</w:t>
      </w:r>
      <w:r>
        <w:rPr>
          <w:sz w:val="24"/>
          <w:szCs w:val="24"/>
        </w:rPr>
        <w:t xml:space="preserve">, де </w:t>
      </w:r>
      <w:r>
        <w:rPr>
          <w:sz w:val="24"/>
          <w:szCs w:val="24"/>
        </w:rPr>
        <w:t xml:space="preserve">xm</w:t>
      </w:r>
      <w:r>
        <w:rPr>
          <w:sz w:val="24"/>
          <w:szCs w:val="24"/>
        </w:rPr>
        <w:t xml:space="preserve"> – отриманий у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 розв’язок.</w:t>
      </w:r>
      <w:r>
        <w:rPr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Порівняти корені рівнянь, отримані у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, із власними результатами за допомогою методу середньоквадратичної похибки.</w:t>
      </w:r>
      <w:r>
        <w:rPr>
          <w:sz w:val="24"/>
          <w:szCs w:val="24"/>
        </w:rPr>
      </w:r>
    </w:p>
    <w:p>
      <w:pPr>
        <w:pStyle w:val="70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 xml:space="preserve">Зейделя</w:t>
      </w:r>
      <w:r>
        <w:rPr>
          <w:rFonts w:ascii="Times New Roman" w:hAnsi="Times New Roman" w:cs="Times New Roman"/>
          <w:sz w:val="28"/>
          <w:szCs w:val="28"/>
        </w:rPr>
        <w:t xml:space="preserve"> та алгоритмом Якобі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2535" cy="371527"/>
                <wp:effectExtent l="0" t="0" r="0" b="0"/>
                <wp:docPr id="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82535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1.07pt;height:29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9750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654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174" cy="975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5pt;height:76.7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0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основну матрицю А на наявність діагональної переваги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5180" cy="354330"/>
                <wp:effectExtent l="0" t="0" r="1270" b="762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" name="image1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75180" cy="354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3.40pt;height:27.90pt;mso-wrap-distance-left:0.00pt;mso-wrap-distance-top:0.00pt;mso-wrap-distance-right:0.00pt;mso-wrap-distance-bottom:0.00pt;z-index:1;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67091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321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670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5pt;height:52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1.1 Вхідні матриці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усіх 4 дій булевий 0, тобто матриця не є </w:t>
      </w:r>
      <w:r>
        <w:rPr>
          <w:rFonts w:ascii="Times New Roman" w:hAnsi="Times New Roman" w:cs="Times New Roman"/>
          <w:sz w:val="28"/>
          <w:szCs w:val="28"/>
        </w:rPr>
        <w:t xml:space="preserve">діаганально</w:t>
      </w:r>
      <w:r>
        <w:rPr>
          <w:rFonts w:ascii="Times New Roman" w:hAnsi="Times New Roman" w:cs="Times New Roman"/>
          <w:sz w:val="28"/>
          <w:szCs w:val="28"/>
        </w:rPr>
        <w:t xml:space="preserve"> панівною. Ми маємо виконати елементарні перетворення щоб виправити це.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1.3 </w:t>
      </w:r>
      <w:r>
        <w:rPr>
          <w:rFonts w:ascii="Times New Roman" w:hAnsi="Times New Roman" w:cs="Times New Roman"/>
          <w:sz w:val="28"/>
          <w:szCs w:val="28"/>
        </w:rPr>
        <w:t xml:space="preserve">Обчислення до еквівалентної матриці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495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872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815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8.00pt;height:117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1.4 Еквівалентні матриці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Якобі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Вхідна матриця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[[ 2.12          0.42          1.34          0.88       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3.8667924528  1.6045283019  0.2556603774]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1.6045283019  2.1330188679 -0.0962264151]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0.2556603774 -0.0962264151  4.0747169811]]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Зведена матриця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[[ 2.12          0.42          1.34          0.88         11.172      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3.8667924528  1.6045283019  0.2556603774 -2.0983207547]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1.6045283019  2.1330188679 -0.0962264151 -7.0525471698]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0.2556603774 -0.0962264151  4.0747169811  4.7115660377]]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Метод простих ітерацій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[[ 5.2698113208]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[-0.5426515078]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[-3.3063688633]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[ 1.156292832 ]]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[[ 3.640910218 ]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[ 5.0095441559]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[ 0.9819656163]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[-0.1794255335]]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№2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[[ 6.9872218009]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[ 0.752878112 ]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[-2.8460046204]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[ 1.112258968 ]]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[[-1.1222607255]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[-0.7274097427]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[-2.0829511616]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[-0.2869163907]]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№3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[[ 6.4578535342]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[ 0.5647610223]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[-3.8225319231]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[ 1.0418451473]]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[[ 1.4495199254]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[ 1.5848677187]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[ 0.2950635249]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[-0.0458736354]]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№4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[[ 7.1415893481]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[ 0.9746272714]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[-3.6842005049]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[ 1.0305870316]]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[[-0.3476007831]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[-0.2190784213]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[-0.6587253248]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[-0.0914754234]]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№5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[[ 6.9776267145]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[ 0.917970902 ]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[-3.9930235232]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[ 1.0081375157]]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[[ 0.4573740935]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[ 0.5012547247]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[ 0.0887465116]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[-0.0152321432]]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№6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[[ 7.1933692115]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[ 1.0476015276]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[-3.9514174629]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[ 1.0043993069]]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[[-0.1069073598]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[-0.0658023894]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[-0.208355722 ]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[-0.0291378126]]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№7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[[ 7.1429412116]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[ 1.0305842219]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[-4.0490986063]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[ 0.9972484267]]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[[ 0.1443327751]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[ 0.1585603559]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[ 0.0266166451]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[-0.0050488554]]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Відповідь: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[[ 7.1429412116]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[ 1.0305842219]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[-4.0490986063]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[ 0.9972484267]]</w:t>
      </w:r>
      <w:r>
        <w:rPr>
          <w:color w:val="000000" w:themeColor="text1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3655"/>
        </w:tabs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Зейделя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[ 0.9920538105]]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[[ 5.2698113208]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[-0.5426515078]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[-2.8981682068]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[ 1.1218988242]]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3.1241880651 -10.1461326896 -15.1003591047  -3.3362458972]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[ 17.6336885894   4.3633678347  -0.5908585804  11.1732546272]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[ 18.3325034718   5.062182717    0.107956302   11.8720695095]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№2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[[ 6.7434849364]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[ 0.5857689823]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[-3.6963919527]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[ 1.0322477835]]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0.6745761295 -12.5957446253 -17.5499710403  -5.7858578328]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[ 14.5740135651   1.3036928104  -3.6505336047   8.1135796029]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[ 18.2159203716   4.9455996168  -0.0086267983  11.7554864093]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№3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[[ 7.0616812238]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[ 0.9229199482]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[-3.9540526201]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[ 1.0050091051]]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0.2276319256 -13.0426888291 -17.9969152442  -6.2328020366]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[ 13.6907084386   0.4203876839  -4.5338387312   7.2302744764]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[ 18.2219260894   4.9516053347  -0.0026210804  11.7614921272]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№4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[[ 7.1690547737]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[ 1.0316373643]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[-4.0370623178]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[ 0.9962275231]]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0.0732994723 -13.1970212824 -18.1512476975  -6.38713449 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[ 13.4057572665   0.1354365118  -4.8187899033   6.9453233043]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[ 18.2237021497   4.9533813949  -0.0008450202  11.7632681874]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№5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[[ 7.2036299964]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[ 1.066662909 ]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[-4.0638058683]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[ 0.9933983499]]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0.0236153013 -13.2467054534 -18.2009318685  -6.4368186609]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[ 13.3139548459   0.0436340912  -4.9105923239   6.8535208837]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[ 18.2242749286   4.9539541739  -0.0002722412  11.7638409664]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№6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[[ 7.2147692895]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[ 1.0779472206]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[-4.0724219377]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[ 0.9924868646]]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0.0076082292 -13.2627125255 -18.2169389406  -6.452825733 ]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[ 13.2843785126   0.0140577579  -4.9401686572   6.8239445504]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[ 18.2244594608   4.9541387061  -0.000087709   11.7640254986]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№7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[[ 7.2183580769]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[ 1.0815827294]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[-4.0751978089]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[ 0.992193208 ]]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0.0024511716 -13.2678695831 -18.2220959982  -6.4579827907]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[ 13.274849795    0.0045290403  -4.9496973748   6.8144158328]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[ 18.2245189123   4.9541981576  -0.0000282575  11.76408495 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№8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[[ 7.2195142899]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[ 1.0827539948]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[-4.0760921217]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[ 0.9920985995]]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0.0007897031 -13.2695310516 -18.2237574667  -6.4596442592]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[ 13.2717798925   0.0014591378  -4.9527672773   6.8113459303]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[ 18.224538066    4.9542173113  -0.0000091038  11.7641041037]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№9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[[ 7.2198867914]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[ 1.0831313458]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[-4.0763802458]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[ 0.9920681191]]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0.0002544216 -13.2700663331 -18.2242927482  -6.4601795407]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[ 13.2707908506   0.0004700959  -4.9537563192   6.8103568883]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[ 18.2245442368   4.9542234821  -0.000002933   11.7641102745]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№10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[[ 7.2200068016]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[ 1.0832529184]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[-4.0764730718]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[ 0.9920582992]]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0.000081968  -13.2702387868 -18.2244652019  -6.4603519943]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[ 13.2704722073   0.0001514525  -4.9540749626   6.810038245 ]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[ 18.2245462249   4.9542254702  -0.0000009449  11.7641122626]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[[ 7.2200454657]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[ 1.0832920859]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[-4.0765029779]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[ 0.9920551354]]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0.0000264079 -13.2702943468 -18.2245207619  -6.4604075543]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[ 13.2703695487   0.000048794   -4.9541776211   6.8099355865]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[ 18.2245468654   4.9542261107  -0.0000003044  11.7641129031]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№12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[[ 7.2200579223]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[ 1.0833047046]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[-4.0765126129]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[ 0.9920541162]]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0.0000085079 -13.2703122468 -18.2245386619  -6.4604254543]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[ 13.2703364749   0.0000157202  -4.9542106949   6.8099025126]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[ 18.2245470717   4.954226317   -0.0000000981  11.7641131095]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№13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[[ 7.2200619354]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[ 1.08330877 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[-4.076515717 ]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[ 0.9920537878]]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0.000002741  -13.2703180137 -18.2245444288  -6.4604312212]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[ 13.2703258193   0.0000050646  -4.9542213505   6.8098918571]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[ 18.2245471382   4.9542263835  -0.0000000316  11.7641131759]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№14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[[ 7.2200632284]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[ 1.0833100798]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[-4.0765167171]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[ 0.992053682 ]]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0.0000008831 -13.2703198716 -18.2245462867  -6.4604330792]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[ 13.2703223864   0.0000016317  -4.9542247834   6.8098884241]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[ 18.2245471596   4.9542264049  -0.0000000102  11.7641131974]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№15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[[ 7.2200636449]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[ 1.0833105018]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[-4.0765170393]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[ 0.9920536479]]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0.0000002845 -13.2703204702 -18.2245468853  -6.4604336778]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[ 13.2703212804   0.0000005257  -4.9542258894   6.8098873181]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[ 18.2245471665   4.9542264118  -0.0000000033  11.7641132043]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Відповідь: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[[ 7.2200636449]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[ 1.0833105018]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[-4.0765170393]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[ 0.9920536479]]</w:t>
      </w:r>
      <w:r>
        <w:rPr>
          <w:color w:val="000000" w:themeColor="text1"/>
        </w:rPr>
      </w:r>
    </w:p>
    <w:p>
      <w:pPr>
        <w:pBdr/>
        <w:spacing w:line="259" w:lineRule="auto"/>
        <w:ind/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обидва методи дали точний результат і методи працюють.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Перевіряємо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838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339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9554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6.50pt;height:66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1906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499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765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8.00pt;height:93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1.5 Перевірка коренів та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нев’язкості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маючи обидва розв’язки розрахуємо середньоквадратичну похибку.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600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210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575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0.75pt;height:47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9285" cy="253338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11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989284" cy="253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5.38pt;height:199.4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Рис 1.6 Похибка </w:t>
      </w:r>
      <w:r/>
      <w:r>
        <w:rPr>
          <w:highlight w:val="none"/>
        </w:rPr>
        <w:tab/>
        <w:tab/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gaussian_elimination_one_step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Find the row with the maximum absolute value in the current column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Swap the rows to move the maximum value to the diagonal position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Perform elimination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Input matrix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3.95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2.98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4.44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Constant vector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0.115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0.009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9.349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Perform one step of Gaussian elimination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Choose the column for which to eliminate non-diagonal elements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gaussian_elimination_one_step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Print the resulting matrix and vector after one step of Gaussian elimination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"Original Matrix:"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Constant vector:"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 after one step of Gaussian elimination:"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Constant vector after one step of Gaussian elimination:"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.tolist())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.tolist())</w:t>
      </w:r>
      <w:r>
        <w:rPr>
          <w:color w:val="000000" w:themeColor="text1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ndarray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.set_printoptions(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suppress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diagonal_dominant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 ndarray,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 ndarray):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.column_stack([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].copy()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[:,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[:, 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[:,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jacobi_b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.zeros_like(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.double)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.diag(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.diagonal(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"Ітерація №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x_old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.diagonal(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"Наближення"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"Вектор нев'язки"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.allclose(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x_old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jacobi_b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seidel_b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.zeros_like(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.double)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zero vector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converge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converge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"Ітерація №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"Наближення"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"Вектор нев'язки"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converge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.allclose(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seidel_b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3.95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2.98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4.44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0.115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0.009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9.349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Еквівалентні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3.8667924528301887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1.6045283018867926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0.25566037735849056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1.6045283018867926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2.1330188679245285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0.09622641509433955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0.25566037735849056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0.09622641509433955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4.074716981132076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2.0983207547169807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7.05254716981132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4.7115660377358495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#A, b = A_step.copy(), b_step.copy()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2.0983207547169807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7.05254716981132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4.7115660377358495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1e-6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.column_stack([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"Вхідна матриця"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"Зведена матриця"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.column_stack([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"Метод Зейделя"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"Відповідь:"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"Метод простих ітерацій"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"Відповідь:"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"MSE SEIDEL: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.mean(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(jacobi_b)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:.1f}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"MSE Jacoby: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.mean(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(jacobi_b)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:.1f}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  <w:br/>
      </w:r>
      <w:r>
        <w:rPr>
          <w:color w:val="000000" w:themeColor="text1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696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bookmarkEnd w:id="4"/>
      <w:r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навчився використовувати два алгоритми ітераційним способом для розв’язування систем алгебраїчних рівнянь СЛАР. </w:t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70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7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95"/>
    <w:next w:val="69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95"/>
    <w:next w:val="69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95"/>
    <w:next w:val="69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5"/>
    <w:next w:val="69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5"/>
    <w:next w:val="69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5"/>
    <w:next w:val="69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5"/>
    <w:next w:val="69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5"/>
    <w:next w:val="69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95"/>
    <w:next w:val="69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5"/>
    <w:next w:val="69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5"/>
    <w:next w:val="69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5"/>
    <w:next w:val="69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7"/>
    <w:link w:val="706"/>
    <w:uiPriority w:val="99"/>
    <w:pPr>
      <w:pBdr/>
      <w:spacing/>
      <w:ind/>
    </w:pPr>
  </w:style>
  <w:style w:type="character" w:styleId="45">
    <w:name w:val="Footer Char"/>
    <w:basedOn w:val="697"/>
    <w:link w:val="708"/>
    <w:uiPriority w:val="99"/>
    <w:pPr>
      <w:pBdr/>
      <w:spacing/>
      <w:ind/>
    </w:pPr>
  </w:style>
  <w:style w:type="paragraph" w:styleId="46">
    <w:name w:val="Caption"/>
    <w:basedOn w:val="695"/>
    <w:next w:val="69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8"/>
    <w:uiPriority w:val="99"/>
    <w:pPr>
      <w:pBdr/>
      <w:spacing/>
      <w:ind/>
    </w:pPr>
  </w:style>
  <w:style w:type="table" w:styleId="48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03"/>
    <w:uiPriority w:val="99"/>
    <w:pPr>
      <w:pBdr/>
      <w:spacing/>
      <w:ind/>
    </w:pPr>
    <w:rPr>
      <w:sz w:val="18"/>
    </w:rPr>
  </w:style>
  <w:style w:type="paragraph" w:styleId="178">
    <w:name w:val="endnote text"/>
    <w:basedOn w:val="69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95"/>
    <w:next w:val="69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5"/>
    <w:next w:val="69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5"/>
    <w:next w:val="69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5"/>
    <w:next w:val="69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5"/>
    <w:next w:val="69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5"/>
    <w:next w:val="69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5"/>
    <w:next w:val="69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5"/>
    <w:next w:val="695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95"/>
    <w:next w:val="695"/>
    <w:uiPriority w:val="99"/>
    <w:unhideWhenUsed/>
    <w:pPr>
      <w:pBdr/>
      <w:spacing w:after="0" w:afterAutospacing="0"/>
      <w:ind/>
    </w:pPr>
  </w:style>
  <w:style w:type="paragraph" w:styleId="695" w:default="1">
    <w:name w:val="Normal"/>
    <w:qFormat/>
    <w:pPr>
      <w:pBdr/>
      <w:spacing w:line="256" w:lineRule="auto"/>
      <w:ind/>
    </w:pPr>
  </w:style>
  <w:style w:type="paragraph" w:styleId="696">
    <w:name w:val="Heading 1"/>
    <w:basedOn w:val="695"/>
    <w:next w:val="695"/>
    <w:link w:val="70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97" w:default="1">
    <w:name w:val="Default Paragraph Font"/>
    <w:uiPriority w:val="1"/>
    <w:semiHidden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Заголовок 1 Знак"/>
    <w:basedOn w:val="697"/>
    <w:link w:val="69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01">
    <w:name w:val="TOC Heading"/>
    <w:basedOn w:val="696"/>
    <w:next w:val="695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702">
    <w:name w:val="List Paragraph"/>
    <w:basedOn w:val="695"/>
    <w:uiPriority w:val="34"/>
    <w:qFormat/>
    <w:pPr>
      <w:pBdr/>
      <w:spacing/>
      <w:ind w:left="720"/>
      <w:contextualSpacing w:val="true"/>
    </w:pPr>
  </w:style>
  <w:style w:type="paragraph" w:styleId="703">
    <w:name w:val="footnote text"/>
    <w:basedOn w:val="695"/>
    <w:link w:val="7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04" w:customStyle="1">
    <w:name w:val="Текст виноски Знак"/>
    <w:basedOn w:val="697"/>
    <w:link w:val="703"/>
    <w:uiPriority w:val="99"/>
    <w:semiHidden/>
    <w:pPr>
      <w:pBdr/>
      <w:spacing/>
      <w:ind/>
    </w:pPr>
    <w:rPr>
      <w:sz w:val="20"/>
      <w:szCs w:val="20"/>
    </w:rPr>
  </w:style>
  <w:style w:type="character" w:styleId="705">
    <w:name w:val="foot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706">
    <w:name w:val="Header"/>
    <w:basedOn w:val="695"/>
    <w:link w:val="70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707" w:customStyle="1">
    <w:name w:val="Верхній колонтитул Знак"/>
    <w:basedOn w:val="697"/>
    <w:link w:val="706"/>
    <w:uiPriority w:val="99"/>
    <w:pPr>
      <w:pBdr/>
      <w:spacing/>
      <w:ind/>
    </w:pPr>
  </w:style>
  <w:style w:type="paragraph" w:styleId="708">
    <w:name w:val="Footer"/>
    <w:basedOn w:val="695"/>
    <w:link w:val="70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709" w:customStyle="1">
    <w:name w:val="Нижній колонтитул Знак"/>
    <w:basedOn w:val="697"/>
    <w:link w:val="708"/>
    <w:uiPriority w:val="99"/>
    <w:pPr>
      <w:pBdr/>
      <w:spacing/>
      <w:ind/>
    </w:pPr>
  </w:style>
  <w:style w:type="paragraph" w:styleId="710">
    <w:name w:val="toc 1"/>
    <w:basedOn w:val="695"/>
    <w:next w:val="695"/>
    <w:uiPriority w:val="39"/>
    <w:unhideWhenUsed/>
    <w:pPr>
      <w:pBdr/>
      <w:spacing w:after="100"/>
      <w:ind/>
    </w:pPr>
  </w:style>
  <w:style w:type="character" w:styleId="711">
    <w:name w:val="Hyperlink"/>
    <w:basedOn w:val="69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12">
    <w:name w:val="HTML Preformatted"/>
    <w:basedOn w:val="695"/>
    <w:link w:val="71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713" w:customStyle="1">
    <w:name w:val="Стандартний HTML Знак"/>
    <w:basedOn w:val="697"/>
    <w:link w:val="71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7</cp:revision>
  <dcterms:created xsi:type="dcterms:W3CDTF">2024-02-11T11:34:00Z</dcterms:created>
  <dcterms:modified xsi:type="dcterms:W3CDTF">2024-06-04T23:02:45Z</dcterms:modified>
</cp:coreProperties>
</file>