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30"/>
        </w:rPr>
        <w:t>PCA and t-SNE — 2D Dimensionality Reduction and Visualization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i/>
          <w:sz w:val="20"/>
        </w:rPr>
        <w:t>ED408 — Statistical / Supervised Machine Learning Lab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1. Problem + Algorithm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Experiment No.: </w:t>
      </w:r>
      <w:r>
        <w:rPr>
          <w:rFonts w:ascii="Times New Roman" w:hAnsi="Times New Roman"/>
          <w:sz w:val="24"/>
        </w:rPr>
        <w:t>05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Title: </w:t>
      </w:r>
      <w:r>
        <w:rPr>
          <w:rFonts w:ascii="Times New Roman" w:hAnsi="Times New Roman"/>
          <w:sz w:val="24"/>
        </w:rPr>
        <w:t>PCA and t-SNE — 2D Dimensionality Reduction and Visualization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Aim: </w:t>
      </w:r>
      <w:r>
        <w:rPr>
          <w:rFonts w:ascii="Times New Roman" w:hAnsi="Times New Roman"/>
          <w:sz w:val="24"/>
        </w:rPr>
        <w:t>Apply PCA and t-SNE to reduce a high-dimensional dataset to 2D and visualize the resulting class clusters.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Problem Statement: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Project the 10-dimensional standardized pixel feature space down to 2 dimensions using both a linear technique (PCA) and a non-linear technique (t-SNE), and visually assess how well edge and non-edge pixels separate into clusters. Per lab instructions this dataset is used in place of MNIST. BSDS500 (Berkeley Segmentation Data Set) is an image-segmentation dataset, not tabular data, so a tabular dataset was derived from it (data/bsds_features.csv, built by scripts/build_dataset.py): 24,000 pixels sampled from the 200 BSDS500 training images, 10 features (R, G, B, gray, grad_mag, grad_dir, laplacian, local_std, x_norm, y_norm) capturing colour, gradient, texture and position, and label is_edge (1 if a majority of 6 human annotators marked the pixel as a segment boundary, else 0). This same dataset is used, unchanged, for every question in this lab.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Algorithm: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1. Load and standardize the feature dataset.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2. PCA: compute the covariance matrix of the standardized features.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3. PCA: compute its eigenvectors/eigenvalues and project data onto the top 2 principal components (directions of maximum variance).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4. t-SNE: compute pairwise similarities between points in the 10-D space.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5. t-SNE: initialize a 2D embedding (via PCA) and iteratively minimize the KL-divergence between the high-D and low-D similarity distributions.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6. Plot both 2D projections, coloured by the is_edge label.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7. Compare cluster separation between PCA and t-SNE.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2. Program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  <w:sz w:val="24"/>
        </w:rPr>
        <w:t>Key code section (function definitions, core algorithm, and key parameter settings):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14"/>
      </w:tblGrid>
      <w:tr>
        <w:tc>
          <w:tcPr>
            <w:tcW w:type="dxa" w:w="9314"/>
            <w:shd w:val="clear" w:fill="F2F2F2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sz w:val="19"/>
              </w:rPr>
              <w:t>from sklearn.decomposition import PCA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from sklearn.manifold import TSNE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# PCA - full dataset (linear projection)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pca = PCA(n_components=2, random_state=42)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X_pca = pca.fit_transform(X_scaled)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explained = pca.explained_variance_ratio_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# t-SNE - subsample for tractable runtime (non-linear projection)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tsne = TSNE(n_components=2, perplexity=30,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random_state=42, init="pca")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X_tsne = tsne.fit_transform(X_scaled[sample_idx])</w:t>
            </w:r>
          </w:p>
        </w:tc>
      </w:tr>
    </w:tbl>
    <w:p>
      <w:pPr>
        <w:spacing w:before="0" w:after="160" w:line="240" w:lineRule="auto"/>
      </w:pPr>
      <w:r>
        <w:rPr>
          <w:rFonts w:ascii="Times New Roman" w:hAnsi="Times New Roman"/>
          <w:sz w:val="24"/>
        </w:rPr>
        <w:t xml:space="preserve">Full executable program: </w:t>
      </w:r>
      <w:r>
        <w:rPr>
          <w:rFonts w:ascii="Times New Roman" w:hAnsi="Times New Roman"/>
          <w:i/>
          <w:sz w:val="24"/>
        </w:rPr>
        <w:t>scripts/q5_pca_tsne.py</w:t>
      </w:r>
      <w:r>
        <w:rPr>
          <w:rFonts w:ascii="Times New Roman" w:hAnsi="Times New Roman"/>
          <w:sz w:val="24"/>
        </w:rPr>
        <w:t xml:space="preserve"> — maintained digitally on GitHub: </w:t>
      </w:r>
      <w:r>
        <w:rPr>
          <w:rFonts w:ascii="Times New Roman" w:hAnsi="Times New Roman"/>
          <w:i/>
          <w:sz w:val="24"/>
        </w:rPr>
        <w:t>https://github.com/Ak62007/SML-Lab-ED408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3. Output + Analysis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Parameters: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Feature Set: </w:t>
      </w:r>
      <w:r>
        <w:rPr>
          <w:rFonts w:ascii="Times New Roman" w:hAnsi="Times New Roman"/>
          <w:sz w:val="24"/>
        </w:rPr>
        <w:t>10 standardized features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PCA sample size: </w:t>
      </w:r>
      <w:r>
        <w:rPr>
          <w:rFonts w:ascii="Times New Roman" w:hAnsi="Times New Roman"/>
          <w:sz w:val="24"/>
        </w:rPr>
        <w:t>24,000 (full dataset)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t-SNE sample size: </w:t>
      </w:r>
      <w:r>
        <w:rPr>
          <w:rFonts w:ascii="Times New Roman" w:hAnsi="Times New Roman"/>
          <w:sz w:val="24"/>
        </w:rPr>
        <w:t>4000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PCA components: </w:t>
      </w:r>
      <w:r>
        <w:rPr>
          <w:rFonts w:ascii="Times New Roman" w:hAnsi="Times New Roman"/>
          <w:sz w:val="24"/>
        </w:rPr>
        <w:t>2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t-SNE perplexity: </w:t>
      </w:r>
      <w:r>
        <w:rPr>
          <w:rFonts w:ascii="Times New Roman" w:hAnsi="Times New Roman"/>
          <w:sz w:val="24"/>
        </w:rPr>
        <w:t>30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t-SNE init: </w:t>
      </w:r>
      <w:r>
        <w:rPr>
          <w:rFonts w:ascii="Times New Roman" w:hAnsi="Times New Roman"/>
          <w:sz w:val="24"/>
        </w:rPr>
        <w:t>pca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Program Execution: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PCA var. explained (PC1): </w:t>
      </w:r>
      <w:r>
        <w:rPr>
          <w:rFonts w:ascii="Times New Roman" w:hAnsi="Times New Roman"/>
          <w:sz w:val="24"/>
        </w:rPr>
        <w:t>38.0%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PCA var. explained (PC2): </w:t>
      </w:r>
      <w:r>
        <w:rPr>
          <w:rFonts w:ascii="Times New Roman" w:hAnsi="Times New Roman"/>
          <w:sz w:val="24"/>
        </w:rPr>
        <w:t>22.5%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PCA total var. explained (2D): </w:t>
      </w:r>
      <w:r>
        <w:rPr>
          <w:rFonts w:ascii="Times New Roman" w:hAnsi="Times New Roman"/>
          <w:sz w:val="24"/>
        </w:rPr>
        <w:t>60.5%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sz w:val="24"/>
        </w:rPr>
        <w:t xml:space="preserve">Execution Status: </w:t>
      </w:r>
      <w:r>
        <w:rPr>
          <w:rFonts w:ascii="Times New Roman" w:hAnsi="Times New Roman"/>
          <w:sz w:val="24"/>
        </w:rPr>
        <w:t>Successfully Executed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Result Graph: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i w:val="0"/>
          <w:sz w:val="24"/>
        </w:rPr>
        <w:t>Figure: t-SNE 2D projection of the edge-pixel feature space (n=4,000 subsample).</w:t>
      </w:r>
    </w:p>
    <w:p>
      <w:pPr>
        <w:spacing w:before="0" w:after="20" w:line="240" w:lineRule="auto"/>
      </w:pPr>
      <w:r>
        <w:rPr>
          <w:rFonts w:ascii="Times New Roman" w:hAnsi="Times New Roman"/>
          <w:b/>
          <w:sz w:val="24"/>
        </w:rPr>
        <w:t xml:space="preserve">X-axis: </w:t>
      </w:r>
      <w:r>
        <w:rPr>
          <w:rFonts w:ascii="Times New Roman" w:hAnsi="Times New Roman"/>
          <w:sz w:val="24"/>
        </w:rPr>
        <w:t>t-SNE dimension 1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Y-axis: </w:t>
      </w:r>
      <w:r>
        <w:rPr>
          <w:rFonts w:ascii="Times New Roman" w:hAnsi="Times New Roman"/>
          <w:sz w:val="24"/>
        </w:rPr>
        <w:t>t-SNE dimension 2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1920" cy="3265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tsne_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26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i w:val="0"/>
          <w:sz w:val="24"/>
        </w:rPr>
        <w:t>The graph demonstrates that t-SNE forms visibly tighter, more separated edge / non-edge clusters than the PCA projection, since it preserves local non-linear neighbourhood structure that a linear projection cannot capture.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Parameter Modification: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Effect of varying t-SNE perplexity on class separation, measured by the silhouette score of the is_edge label in the resulting 2D embedding (1,500-point subsample):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Perplexity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Silhouette Score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0.0658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0.0688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0.0686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0.0541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0.0564</w:t>
            </w:r>
          </w:p>
        </w:tc>
      </w:tr>
    </w:tbl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Separation peaks around perplexity 15-30 and declines at very high perplexity (100), because a large perplexity forces t-SNE to consider distant, less locally-relevant neighbours when building the embedding.</w:t>
      </w:r>
    </w:p>
    <w:sectPr w:rsidR="00FC693F" w:rsidRPr="0006063C" w:rsidSect="00034616"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