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1B365D"/>
          <w:sz w:val="34"/>
        </w:rPr>
        <w:t>Foundations of Generative AI (ICT4403)</w:t>
        <w:br/>
        <w:t>Assignment 2: Comparative Autoregressive Text Generation</w:t>
      </w:r>
    </w:p>
    <w:p>
      <w:pPr>
        <w:spacing w:after="240"/>
        <w:jc w:val="center"/>
      </w:pPr>
      <w:r>
        <w:rPr>
          <w:rFonts w:ascii="Arial" w:hAnsi="Arial"/>
          <w:i/>
          <w:color w:val="555555"/>
          <w:sz w:val="22"/>
        </w:rPr>
        <w:t>Research-Grade Exploratory Data Analysis, Recurrent Neural Architectures, and Empirical Generation Dynamics</w:t>
      </w:r>
    </w:p>
    <w:p>
      <w:pPr>
        <w:pStyle w:val="Heading1"/>
      </w:pPr>
      <w:r>
        <w:rPr>
          <w:rFonts w:ascii="Arial" w:hAnsi="Arial"/>
          <w:b/>
          <w:color w:val="1B365D"/>
          <w:sz w:val="30"/>
        </w:rPr>
        <w:t>1. Mandatory Submission Identification</w:t>
      </w:r>
    </w:p>
    <w:tbl>
      <w:tblPr>
        <w:tblStyle w:val="TableGrid"/>
        <w:tblW w:type="auto" w:w="0"/>
        <w:tblLook w:firstColumn="1" w:firstRow="1" w:lastColumn="0" w:lastRow="0" w:noHBand="0" w:noVBand="1" w:val="04A0"/>
      </w:tblPr>
      <w:tblGrid>
        <w:gridCol w:w="5040"/>
        <w:gridCol w:w="5040"/>
      </w:tblGrid>
      <w:tr>
        <w:tc>
          <w:tcPr>
            <w:tcW w:type="dxa" w:w="3168"/>
          </w:tcPr>
          <w:p>
            <w:r>
              <w:rPr>
                <w:rFonts w:ascii="Arial" w:hAnsi="Arial"/>
                <w:b/>
                <w:sz w:val="19"/>
              </w:rPr>
              <w:t>Student Full Name</w:t>
            </w:r>
          </w:p>
        </w:tc>
        <w:tc>
          <w:tcPr>
            <w:tcW w:type="dxa" w:w="6912"/>
          </w:tcPr>
          <w:p>
            <w:r>
              <w:rPr>
                <w:rFonts w:ascii="Arial" w:hAnsi="Arial"/>
                <w:sz w:val="19"/>
              </w:rPr>
              <w:t>Varanasi Naga Akhil</w:t>
            </w:r>
          </w:p>
        </w:tc>
      </w:tr>
      <w:tr>
        <w:tc>
          <w:tcPr>
            <w:tcW w:type="dxa" w:w="3168"/>
          </w:tcPr>
          <w:p>
            <w:r>
              <w:rPr>
                <w:rFonts w:ascii="Arial" w:hAnsi="Arial"/>
                <w:b/>
                <w:sz w:val="19"/>
              </w:rPr>
              <w:t>Registration Number</w:t>
            </w:r>
          </w:p>
        </w:tc>
        <w:tc>
          <w:tcPr>
            <w:tcW w:type="dxa" w:w="6912"/>
          </w:tcPr>
          <w:p>
            <w:r>
              <w:rPr>
                <w:rFonts w:ascii="Arial" w:hAnsi="Arial"/>
                <w:sz w:val="19"/>
              </w:rPr>
              <w:t>230953496</w:t>
            </w:r>
          </w:p>
        </w:tc>
      </w:tr>
      <w:tr>
        <w:tc>
          <w:tcPr>
            <w:tcW w:type="dxa" w:w="3168"/>
          </w:tcPr>
          <w:p>
            <w:r>
              <w:rPr>
                <w:rFonts w:ascii="Arial" w:hAnsi="Arial"/>
                <w:b/>
                <w:sz w:val="19"/>
              </w:rPr>
              <w:t>Course &amp; Assignment</w:t>
            </w:r>
          </w:p>
        </w:tc>
        <w:tc>
          <w:tcPr>
            <w:tcW w:type="dxa" w:w="6912"/>
          </w:tcPr>
          <w:p>
            <w:r>
              <w:rPr>
                <w:rFonts w:ascii="Arial" w:hAnsi="Arial"/>
                <w:sz w:val="19"/>
              </w:rPr>
              <w:t>Foundations of Generative AI (ICT4403) - Assignment 2</w:t>
            </w:r>
          </w:p>
        </w:tc>
      </w:tr>
      <w:tr>
        <w:tc>
          <w:tcPr>
            <w:tcW w:type="dxa" w:w="3168"/>
          </w:tcPr>
          <w:p>
            <w:r>
              <w:rPr>
                <w:rFonts w:ascii="Arial" w:hAnsi="Arial"/>
                <w:b/>
                <w:sz w:val="19"/>
              </w:rPr>
              <w:t>System Architecture Title</w:t>
            </w:r>
          </w:p>
        </w:tc>
        <w:tc>
          <w:tcPr>
            <w:tcW w:type="dxa" w:w="6912"/>
          </w:tcPr>
          <w:p>
            <w:r>
              <w:rPr>
                <w:rFonts w:ascii="Arial" w:hAnsi="Arial"/>
                <w:sz w:val="19"/>
              </w:rPr>
              <w:t>Autoregressive Text Generation System using Simple RNN, Bidirectional RNN, LSTM, and GRU</w:t>
            </w:r>
          </w:p>
        </w:tc>
      </w:tr>
      <w:tr>
        <w:tc>
          <w:tcPr>
            <w:tcW w:type="dxa" w:w="3168"/>
          </w:tcPr>
          <w:p>
            <w:r>
              <w:rPr>
                <w:rFonts w:ascii="Arial" w:hAnsi="Arial"/>
                <w:b/>
                <w:sz w:val="19"/>
              </w:rPr>
              <w:t>Dataset Name &amp; Source URL</w:t>
            </w:r>
          </w:p>
        </w:tc>
        <w:tc>
          <w:tcPr>
            <w:tcW w:type="dxa" w:w="6912"/>
          </w:tcPr>
          <w:p>
            <w:r>
              <w:rPr>
                <w:rFonts w:ascii="Arial" w:hAnsi="Arial"/>
                <w:color w:val="0055AA"/>
                <w:sz w:val="19"/>
                <w:u w:val="single"/>
              </w:rPr>
              <w:t>The Adventures of Sherlock Holmes by Sir Arthur Conan Doyle (Project Gutenberg eBook #1661)</w:t>
              <w:br/>
              <w:t>URL: https://www.gutenberg.org/ebooks/1661</w:t>
            </w:r>
          </w:p>
        </w:tc>
      </w:tr>
      <w:tr>
        <w:tc>
          <w:tcPr>
            <w:tcW w:type="dxa" w:w="3168"/>
          </w:tcPr>
          <w:p>
            <w:r>
              <w:rPr>
                <w:rFonts w:ascii="Arial" w:hAnsi="Arial"/>
                <w:b/>
                <w:sz w:val="19"/>
              </w:rPr>
              <w:t>GitHub Repository Link</w:t>
            </w:r>
          </w:p>
        </w:tc>
        <w:tc>
          <w:tcPr>
            <w:tcW w:type="dxa" w:w="6912"/>
          </w:tcPr>
          <w:p>
            <w:r>
              <w:rPr>
                <w:rFonts w:ascii="Arial" w:hAnsi="Arial"/>
                <w:color w:val="0055AA"/>
                <w:sz w:val="19"/>
                <w:u w:val="single"/>
              </w:rPr>
              <w:t>https://github.com/AkCodes23/FGAI_Assignment.git</w:t>
            </w:r>
          </w:p>
        </w:tc>
      </w:tr>
    </w:tbl>
    <w:p/>
    <w:p>
      <w:pPr>
        <w:pStyle w:val="Heading1"/>
      </w:pPr>
      <w:r>
        <w:rPr>
          <w:rFonts w:ascii="Arial" w:hAnsi="Arial"/>
          <w:b/>
          <w:color w:val="1B365D"/>
          <w:sz w:val="30"/>
        </w:rPr>
        <w:t>2. End-to-End System Architecture &amp; Mathematical Formulation</w:t>
      </w:r>
    </w:p>
    <w:p>
      <w:pPr>
        <w:spacing w:after="120"/>
      </w:pPr>
      <w:r>
        <w:t>The autoregressive text generation system processes raw literary text into a clean sequence of discrete tokens, constructs causal sliding-window training pairs, maps tokens into continuous dense embeddings, and trains four controlled recurrent neural architectures (Simple RNN, Bidirectional RNN, LSTM, and GRU) to sequentially model the conditional probability distribution P(w_{t+1} | w_1, ..., w_t). At inference time, temperature-controlled stochastic sampling generates multi-sentence narrative continuations while enforcing special-token masking to prevent degenerate outputs.</w:t>
      </w:r>
    </w:p>
    <w:p>
      <w:pPr>
        <w:spacing w:before="160" w:after="40"/>
        <w:jc w:val="center"/>
      </w:pP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669280" cy="3222109"/>
                    </a:xfrm>
                    <a:prstGeom prst="rect"/>
                  </pic:spPr>
                </pic:pic>
              </a:graphicData>
            </a:graphic>
          </wp:inline>
        </w:drawing>
      </w:r>
    </w:p>
    <w:p>
      <w:pPr>
        <w:spacing w:after="200"/>
        <w:jc w:val="center"/>
      </w:pPr>
      <w:r>
        <w:rPr>
          <w:rFonts w:ascii="Arial" w:hAnsi="Arial"/>
          <w:i/>
          <w:color w:val="555555"/>
          <w:sz w:val="17"/>
        </w:rPr>
        <w:t>Figure 1: End-to-end modular system architecture showing data ingestion, embedding projection, recurrent latent encoding, and controlled stochastic autoregressive generation.</w:t>
      </w:r>
    </w:p>
    <w:p>
      <w:pPr>
        <w:pStyle w:val="Heading2"/>
      </w:pPr>
      <w:r>
        <w:rPr>
          <w:rFonts w:ascii="Arial" w:hAnsi="Arial"/>
          <w:b/>
          <w:color w:val="2C3E50"/>
          <w:sz w:val="25"/>
        </w:rPr>
        <w:t>2.2 Mathematical Parameter Allocation &amp; Capacity Matching</w:t>
      </w:r>
    </w:p>
    <w:p>
      <w:r>
        <w:t>A rigorous scientific comparison requires controlling for non-recurrent capacity across all models. In our implementation, all four architectures share identical embedding dimensionality (d_e = 128) and effective hidden representation size (d_h = 256), operating over a common vocabulary (V = 4,378). Non-recurrent parameter allocations are strictly uniform:</w:t>
        <w:br/>
        <w:t>• Embedding Layer: V × d_e = 4,378 × 128 = 560,384 parameters.</w:t>
        <w:br/>
        <w:t>• Output Projection Layer: (d_h × V) + V = (256 × 4,378) + 4,378 = 1,125,146 parameters.</w:t>
        <w:br/>
        <w:t>• Common Baseline Parameters = 1,685,530 parameters (accounting for 70% to 88% of total model weights).</w:t>
        <w:br/>
        <w:br/>
        <w:t>The remaining parameter variance across architectures arises purely from internal gating complexity across 2 stacked layers:</w:t>
        <w:br/>
        <w:t>1. Simple RNN (1 gate per unit): Layer 1 = (128×256 + 256×256 + 2×256) = 98,816; Layer 2 = (256×256 + 256×256 + 2×256) = 131,584. Recurrent total = 230,400. Grand Total = 1,915,930 parameters.</w:t>
        <w:br/>
        <w:t>2. Bidirectional RNN (2 directions with d_h/2 = 128 units): Layer 1 = 2 × (128×128 + 128×128 + 2×128) = 66,048; Layer 2 = 2 × (256×128 + 128×128 + 2×128) = 98,816. Recurrent total = 164,864. Grand Total = 1,850,394 parameters.</w:t>
        <w:br/>
        <w:t>3. LSTM (4 gates: input, forget, output, candidate cell): Layer 1 = 4 × 98,816 = 395,264; Layer 2 = 4 × 131,584 = 526,336. Recurrent total = 921,600. Grand Total = 2,607,130 parameters.</w:t>
        <w:br/>
        <w:t>4. GRU (3 gates: reset, update, candidate hidden): Layer 1 = 3 × 98,816 = 296,448; Layer 2 = 3 × 131,584 = 394,752. Recurrent total = 691,200. Grand Total = 2,376,730 parameters.</w:t>
      </w:r>
    </w:p>
    <w:p>
      <w:pPr>
        <w:pStyle w:val="Heading2"/>
      </w:pPr>
      <w:r>
        <w:rPr>
          <w:rFonts w:ascii="Arial" w:hAnsi="Arial"/>
          <w:b/>
          <w:color w:val="2C3E50"/>
          <w:sz w:val="25"/>
        </w:rPr>
        <w:t>2.3 The Bidirectional Causal Asymmetry Paradox</w:t>
      </w:r>
    </w:p>
    <w:p>
      <w:r>
        <w:t>A critical theoretical inquiry in autoregressive modeling is why Bidirectional RNNs are fundamentally sub-optimal for causal text generation. In PyTorch's nn.RNN with bidirectional=True, the forward pass computes states h_1^-&gt; through h_L^-&gt;, while the backward pass computes h_L^&lt;- down to h_1^&lt;-. When predicting the next word w_{L+1} from context w_1...w_L, taking the final temporal slice (out[:, -1, :]) selects the final forward state h_L^-&gt; (which has observed all L prompt tokens), but selects the initial backward state h_L^&lt;- (which has only observed w_L in isolation from an initial zero state). The fully contextual backward vector is at index 0, not index -1. Moreover, during autoregressive sequential generation, future tokens do not yet exist, creating an irreconcilable structural discrepancy between bidirectional training and unidirectional inference rollout. This empirical reality explains BiRNN's elevated repetition rate (25.03% at T=0.2).</w:t>
      </w:r>
    </w:p>
    <w:p/>
    <w:p>
      <w:pPr>
        <w:pStyle w:val="Heading1"/>
      </w:pPr>
      <w:r>
        <w:rPr>
          <w:rFonts w:ascii="Arial" w:hAnsi="Arial"/>
          <w:b/>
          <w:color w:val="1B365D"/>
          <w:sz w:val="30"/>
        </w:rPr>
        <w:t>3. Exploratory Data Analysis (EDA) &amp; Corpus Diagnostics</w:t>
      </w:r>
    </w:p>
    <w:p>
      <w:pPr>
        <w:spacing w:after="120"/>
      </w:pPr>
      <w:r>
        <w:t>A rigorous exploratory data analysis was conducted on The Adventures of Sherlock Holmes to characterize its lexical distribution, information entropy, sentence length dynamics, and vocabulary coverage. These statistical properties directly informed our hyperparameter choices for context sequence length (L = 20) and vocabulary cutoff (V = 4,378).</w:t>
      </w:r>
    </w:p>
    <w:p>
      <w:pPr>
        <w:pStyle w:val="Heading2"/>
      </w:pPr>
      <w:r>
        <w:rPr>
          <w:rFonts w:ascii="Arial" w:hAnsi="Arial"/>
          <w:b/>
          <w:color w:val="2C3E50"/>
          <w:sz w:val="25"/>
        </w:rPr>
        <w:t>3.1 Descriptive Corpus &amp; Information-Theoretic Metrics</w:t>
      </w:r>
    </w:p>
    <w:tbl>
      <w:tblPr>
        <w:tblStyle w:val="TableGrid"/>
        <w:tblW w:type="auto" w:w="0"/>
        <w:jc w:val="center"/>
        <w:tblLook w:firstColumn="1" w:firstRow="1" w:lastColumn="0" w:lastRow="0" w:noHBand="0" w:noVBand="1" w:val="04A0"/>
      </w:tblPr>
      <w:tblGrid>
        <w:gridCol w:w="5040"/>
        <w:gridCol w:w="5040"/>
      </w:tblGrid>
      <w:tr>
        <w:tc>
          <w:tcPr>
            <w:tcW w:type="dxa" w:w="5184"/>
            <w:shd w:fill="1B365D"/>
          </w:tcPr>
          <w:p>
            <w:pPr>
              <w:spacing w:before="60" w:after="60"/>
            </w:pPr>
            <w:r>
              <w:rPr>
                <w:rFonts w:ascii="Arial" w:hAnsi="Arial"/>
                <w:b/>
                <w:color w:val="FFFFFF"/>
                <w:sz w:val="18"/>
              </w:rPr>
              <w:t>Statistical / Information-Theoretic Metric</w:t>
            </w:r>
          </w:p>
        </w:tc>
        <w:tc>
          <w:tcPr>
            <w:tcW w:type="dxa" w:w="4896"/>
            <w:shd w:fill="1B365D"/>
          </w:tcPr>
          <w:p>
            <w:pPr>
              <w:spacing w:before="60" w:after="60"/>
            </w:pPr>
            <w:r>
              <w:rPr>
                <w:rFonts w:ascii="Arial" w:hAnsi="Arial"/>
                <w:b/>
                <w:color w:val="FFFFFF"/>
                <w:sz w:val="18"/>
              </w:rPr>
              <w:t>Empirical Value (Sherlock Holmes Corpus)</w:t>
            </w:r>
          </w:p>
        </w:tc>
      </w:tr>
      <w:tr>
        <w:tc>
          <w:tcPr>
            <w:tcW w:type="dxa" w:w="5184"/>
          </w:tcPr>
          <w:p>
            <w:pPr>
              <w:spacing w:before="60" w:after="60"/>
            </w:pPr>
            <w:r>
              <w:rPr>
                <w:rFonts w:ascii="Arial" w:hAnsi="Arial"/>
                <w:sz w:val="18"/>
              </w:rPr>
              <w:t>Raw Characters</w:t>
            </w:r>
          </w:p>
        </w:tc>
        <w:tc>
          <w:tcPr>
            <w:tcW w:type="dxa" w:w="4896"/>
          </w:tcPr>
          <w:p>
            <w:pPr>
              <w:spacing w:before="60" w:after="60"/>
            </w:pPr>
            <w:r>
              <w:rPr>
                <w:rFonts w:ascii="Arial" w:hAnsi="Arial"/>
                <w:sz w:val="18"/>
              </w:rPr>
              <w:t>593,731</w:t>
            </w:r>
          </w:p>
        </w:tc>
      </w:tr>
      <w:tr>
        <w:tc>
          <w:tcPr>
            <w:tcW w:type="dxa" w:w="5184"/>
          </w:tcPr>
          <w:p>
            <w:pPr>
              <w:spacing w:before="60" w:after="60"/>
            </w:pPr>
            <w:r>
              <w:rPr>
                <w:rFonts w:ascii="Arial" w:hAnsi="Arial"/>
                <w:sz w:val="18"/>
              </w:rPr>
              <w:t>Clean Characters</w:t>
            </w:r>
          </w:p>
        </w:tc>
        <w:tc>
          <w:tcPr>
            <w:tcW w:type="dxa" w:w="4896"/>
          </w:tcPr>
          <w:p>
            <w:pPr>
              <w:spacing w:before="60" w:after="60"/>
            </w:pPr>
            <w:r>
              <w:rPr>
                <w:rFonts w:ascii="Arial" w:hAnsi="Arial"/>
                <w:sz w:val="18"/>
              </w:rPr>
              <w:t>574,143</w:t>
            </w:r>
          </w:p>
        </w:tc>
      </w:tr>
      <w:tr>
        <w:tc>
          <w:tcPr>
            <w:tcW w:type="dxa" w:w="5184"/>
          </w:tcPr>
          <w:p>
            <w:pPr>
              <w:spacing w:before="60" w:after="60"/>
            </w:pPr>
            <w:r>
              <w:rPr>
                <w:rFonts w:ascii="Arial" w:hAnsi="Arial"/>
                <w:sz w:val="18"/>
              </w:rPr>
              <w:t>Total Corpus Tokens</w:t>
            </w:r>
          </w:p>
        </w:tc>
        <w:tc>
          <w:tcPr>
            <w:tcW w:type="dxa" w:w="4896"/>
          </w:tcPr>
          <w:p>
            <w:pPr>
              <w:spacing w:before="60" w:after="60"/>
            </w:pPr>
            <w:r>
              <w:rPr>
                <w:rFonts w:ascii="Arial" w:hAnsi="Arial"/>
                <w:sz w:val="18"/>
              </w:rPr>
              <w:t>121,822</w:t>
            </w:r>
          </w:p>
        </w:tc>
      </w:tr>
      <w:tr>
        <w:tc>
          <w:tcPr>
            <w:tcW w:type="dxa" w:w="5184"/>
          </w:tcPr>
          <w:p>
            <w:pPr>
              <w:spacing w:before="60" w:after="60"/>
            </w:pPr>
            <w:r>
              <w:rPr>
                <w:rFonts w:ascii="Arial" w:hAnsi="Arial"/>
                <w:sz w:val="18"/>
              </w:rPr>
              <w:t>Unique Tokens (Raw Vocabulary)</w:t>
            </w:r>
          </w:p>
        </w:tc>
        <w:tc>
          <w:tcPr>
            <w:tcW w:type="dxa" w:w="4896"/>
          </w:tcPr>
          <w:p>
            <w:pPr>
              <w:spacing w:before="60" w:after="60"/>
            </w:pPr>
            <w:r>
              <w:rPr>
                <w:rFonts w:ascii="Arial" w:hAnsi="Arial"/>
                <w:sz w:val="18"/>
              </w:rPr>
              <w:t>7,826</w:t>
            </w:r>
          </w:p>
        </w:tc>
      </w:tr>
      <w:tr>
        <w:tc>
          <w:tcPr>
            <w:tcW w:type="dxa" w:w="5184"/>
          </w:tcPr>
          <w:p>
            <w:pPr>
              <w:spacing w:before="60" w:after="60"/>
            </w:pPr>
            <w:r>
              <w:rPr>
                <w:rFonts w:ascii="Arial" w:hAnsi="Arial"/>
                <w:sz w:val="18"/>
              </w:rPr>
              <w:t>Effective Model Vocabulary Size</w:t>
            </w:r>
          </w:p>
        </w:tc>
        <w:tc>
          <w:tcPr>
            <w:tcW w:type="dxa" w:w="4896"/>
          </w:tcPr>
          <w:p>
            <w:pPr>
              <w:spacing w:before="60" w:after="60"/>
            </w:pPr>
            <w:r>
              <w:rPr>
                <w:rFonts w:ascii="Arial" w:hAnsi="Arial"/>
                <w:sz w:val="18"/>
              </w:rPr>
              <w:t>4,378</w:t>
            </w:r>
          </w:p>
        </w:tc>
      </w:tr>
      <w:tr>
        <w:tc>
          <w:tcPr>
            <w:tcW w:type="dxa" w:w="5184"/>
          </w:tcPr>
          <w:p>
            <w:pPr>
              <w:spacing w:before="60" w:after="60"/>
            </w:pPr>
            <w:r>
              <w:rPr>
                <w:rFonts w:ascii="Arial" w:hAnsi="Arial"/>
                <w:sz w:val="18"/>
              </w:rPr>
              <w:t>Type-Token Ratio (TTR)</w:t>
            </w:r>
          </w:p>
        </w:tc>
        <w:tc>
          <w:tcPr>
            <w:tcW w:type="dxa" w:w="4896"/>
          </w:tcPr>
          <w:p>
            <w:pPr>
              <w:spacing w:before="60" w:after="60"/>
            </w:pPr>
            <w:r>
              <w:rPr>
                <w:rFonts w:ascii="Arial" w:hAnsi="Arial"/>
                <w:sz w:val="18"/>
              </w:rPr>
              <w:t>0.0642</w:t>
            </w:r>
          </w:p>
        </w:tc>
      </w:tr>
      <w:tr>
        <w:tc>
          <w:tcPr>
            <w:tcW w:type="dxa" w:w="5184"/>
          </w:tcPr>
          <w:p>
            <w:pPr>
              <w:spacing w:before="60" w:after="60"/>
            </w:pPr>
            <w:r>
              <w:rPr>
                <w:rFonts w:ascii="Arial" w:hAnsi="Arial"/>
                <w:sz w:val="18"/>
              </w:rPr>
              <w:t>Guiraud's Index (Root TTR)</w:t>
            </w:r>
          </w:p>
        </w:tc>
        <w:tc>
          <w:tcPr>
            <w:tcW w:type="dxa" w:w="4896"/>
          </w:tcPr>
          <w:p>
            <w:pPr>
              <w:spacing w:before="60" w:after="60"/>
            </w:pPr>
            <w:r>
              <w:rPr>
                <w:rFonts w:ascii="Arial" w:hAnsi="Arial"/>
                <w:sz w:val="18"/>
              </w:rPr>
              <w:t>22.42</w:t>
            </w:r>
          </w:p>
        </w:tc>
      </w:tr>
      <w:tr>
        <w:tc>
          <w:tcPr>
            <w:tcW w:type="dxa" w:w="5184"/>
          </w:tcPr>
          <w:p>
            <w:pPr>
              <w:spacing w:before="60" w:after="60"/>
            </w:pPr>
            <w:r>
              <w:rPr>
                <w:rFonts w:ascii="Arial" w:hAnsi="Arial"/>
                <w:sz w:val="18"/>
              </w:rPr>
              <w:t>Hapax Legomena Count (freq = 1)</w:t>
            </w:r>
          </w:p>
        </w:tc>
        <w:tc>
          <w:tcPr>
            <w:tcW w:type="dxa" w:w="4896"/>
          </w:tcPr>
          <w:p>
            <w:pPr>
              <w:spacing w:before="60" w:after="60"/>
            </w:pPr>
            <w:r>
              <w:rPr>
                <w:rFonts w:ascii="Arial" w:hAnsi="Arial"/>
                <w:sz w:val="18"/>
              </w:rPr>
              <w:t>3,452 (44.11%)</w:t>
            </w:r>
          </w:p>
        </w:tc>
      </w:tr>
      <w:tr>
        <w:tc>
          <w:tcPr>
            <w:tcW w:type="dxa" w:w="5184"/>
          </w:tcPr>
          <w:p>
            <w:pPr>
              <w:spacing w:before="60" w:after="60"/>
            </w:pPr>
            <w:r>
              <w:rPr>
                <w:rFonts w:ascii="Arial" w:hAnsi="Arial"/>
                <w:sz w:val="18"/>
              </w:rPr>
              <w:t>Dis Legomena Count (freq = 2)</w:t>
            </w:r>
          </w:p>
        </w:tc>
        <w:tc>
          <w:tcPr>
            <w:tcW w:type="dxa" w:w="4896"/>
          </w:tcPr>
          <w:p>
            <w:pPr>
              <w:spacing w:before="60" w:after="60"/>
            </w:pPr>
            <w:r>
              <w:rPr>
                <w:rFonts w:ascii="Arial" w:hAnsi="Arial"/>
                <w:sz w:val="18"/>
              </w:rPr>
              <w:t>1,247 (15.93%)</w:t>
            </w:r>
          </w:p>
        </w:tc>
      </w:tr>
      <w:tr>
        <w:tc>
          <w:tcPr>
            <w:tcW w:type="dxa" w:w="5184"/>
          </w:tcPr>
          <w:p>
            <w:pPr>
              <w:spacing w:before="60" w:after="60"/>
            </w:pPr>
            <w:r>
              <w:rPr>
                <w:rFonts w:ascii="Arial" w:hAnsi="Arial"/>
                <w:sz w:val="18"/>
              </w:rPr>
              <w:t>Unigram Shannon Entropy</w:t>
            </w:r>
          </w:p>
        </w:tc>
        <w:tc>
          <w:tcPr>
            <w:tcW w:type="dxa" w:w="4896"/>
          </w:tcPr>
          <w:p>
            <w:pPr>
              <w:spacing w:before="60" w:after="60"/>
            </w:pPr>
            <w:r>
              <w:rPr>
                <w:rFonts w:ascii="Arial" w:hAnsi="Arial"/>
                <w:sz w:val="18"/>
              </w:rPr>
              <w:t>8.7852 bits/token</w:t>
            </w:r>
          </w:p>
        </w:tc>
      </w:tr>
      <w:tr>
        <w:tc>
          <w:tcPr>
            <w:tcW w:type="dxa" w:w="5184"/>
          </w:tcPr>
          <w:p>
            <w:pPr>
              <w:spacing w:before="60" w:after="60"/>
            </w:pPr>
            <w:r>
              <w:rPr>
                <w:rFonts w:ascii="Arial" w:hAnsi="Arial"/>
                <w:sz w:val="18"/>
              </w:rPr>
              <w:t>Theoretical Zeroth-Order Perplexity</w:t>
            </w:r>
          </w:p>
        </w:tc>
        <w:tc>
          <w:tcPr>
            <w:tcW w:type="dxa" w:w="4896"/>
          </w:tcPr>
          <w:p>
            <w:pPr>
              <w:spacing w:before="60" w:after="60"/>
            </w:pPr>
            <w:r>
              <w:rPr>
                <w:rFonts w:ascii="Arial" w:hAnsi="Arial"/>
                <w:sz w:val="18"/>
              </w:rPr>
              <w:t>441.17</w:t>
            </w:r>
          </w:p>
        </w:tc>
      </w:tr>
      <w:tr>
        <w:tc>
          <w:tcPr>
            <w:tcW w:type="dxa" w:w="5184"/>
          </w:tcPr>
          <w:p>
            <w:pPr>
              <w:spacing w:before="60" w:after="60"/>
            </w:pPr>
            <w:r>
              <w:rPr>
                <w:rFonts w:ascii="Arial" w:hAnsi="Arial"/>
                <w:sz w:val="18"/>
              </w:rPr>
              <w:t>Empirical Zipf Exponent (alpha)</w:t>
            </w:r>
          </w:p>
        </w:tc>
        <w:tc>
          <w:tcPr>
            <w:tcW w:type="dxa" w:w="4896"/>
          </w:tcPr>
          <w:p>
            <w:pPr>
              <w:spacing w:before="60" w:after="60"/>
            </w:pPr>
            <w:r>
              <w:rPr>
                <w:rFonts w:ascii="Arial" w:hAnsi="Arial"/>
                <w:sz w:val="18"/>
              </w:rPr>
              <w:t>1.1161</w:t>
            </w:r>
          </w:p>
        </w:tc>
      </w:tr>
      <w:tr>
        <w:tc>
          <w:tcPr>
            <w:tcW w:type="dxa" w:w="5184"/>
          </w:tcPr>
          <w:p>
            <w:pPr>
              <w:spacing w:before="60" w:after="60"/>
            </w:pPr>
            <w:r>
              <w:rPr>
                <w:rFonts w:ascii="Arial" w:hAnsi="Arial"/>
                <w:sz w:val="18"/>
              </w:rPr>
              <w:t>Zipf Power Law Fit R^2</w:t>
            </w:r>
          </w:p>
        </w:tc>
        <w:tc>
          <w:tcPr>
            <w:tcW w:type="dxa" w:w="4896"/>
          </w:tcPr>
          <w:p>
            <w:pPr>
              <w:spacing w:before="60" w:after="60"/>
            </w:pPr>
            <w:r>
              <w:rPr>
                <w:rFonts w:ascii="Arial" w:hAnsi="Arial"/>
                <w:sz w:val="18"/>
              </w:rPr>
              <w:t>0.9966</w:t>
            </w:r>
          </w:p>
        </w:tc>
      </w:tr>
      <w:tr>
        <w:tc>
          <w:tcPr>
            <w:tcW w:type="dxa" w:w="5184"/>
          </w:tcPr>
          <w:p>
            <w:pPr>
              <w:spacing w:before="60" w:after="60"/>
            </w:pPr>
            <w:r>
              <w:rPr>
                <w:rFonts w:ascii="Arial" w:hAnsi="Arial"/>
                <w:sz w:val="18"/>
              </w:rPr>
              <w:t>Top 50% Token Coverage Threshold</w:t>
            </w:r>
          </w:p>
        </w:tc>
        <w:tc>
          <w:tcPr>
            <w:tcW w:type="dxa" w:w="4896"/>
          </w:tcPr>
          <w:p>
            <w:pPr>
              <w:spacing w:before="60" w:after="60"/>
            </w:pPr>
            <w:r>
              <w:rPr>
                <w:rFonts w:ascii="Arial" w:hAnsi="Arial"/>
                <w:sz w:val="18"/>
              </w:rPr>
              <w:t>Top 40 words</w:t>
            </w:r>
          </w:p>
        </w:tc>
      </w:tr>
      <w:tr>
        <w:tc>
          <w:tcPr>
            <w:tcW w:type="dxa" w:w="5184"/>
          </w:tcPr>
          <w:p>
            <w:pPr>
              <w:spacing w:before="60" w:after="60"/>
            </w:pPr>
            <w:r>
              <w:rPr>
                <w:rFonts w:ascii="Arial" w:hAnsi="Arial"/>
                <w:sz w:val="18"/>
              </w:rPr>
              <w:t>Top 80% Token Coverage Threshold</w:t>
            </w:r>
          </w:p>
        </w:tc>
        <w:tc>
          <w:tcPr>
            <w:tcW w:type="dxa" w:w="4896"/>
          </w:tcPr>
          <w:p>
            <w:pPr>
              <w:spacing w:before="60" w:after="60"/>
            </w:pPr>
            <w:r>
              <w:rPr>
                <w:rFonts w:ascii="Arial" w:hAnsi="Arial"/>
                <w:sz w:val="18"/>
              </w:rPr>
              <w:t>Top 517 words</w:t>
            </w:r>
          </w:p>
        </w:tc>
      </w:tr>
      <w:tr>
        <w:tc>
          <w:tcPr>
            <w:tcW w:type="dxa" w:w="5184"/>
          </w:tcPr>
          <w:p>
            <w:pPr>
              <w:spacing w:before="60" w:after="60"/>
            </w:pPr>
            <w:r>
              <w:rPr>
                <w:rFonts w:ascii="Arial" w:hAnsi="Arial"/>
                <w:sz w:val="18"/>
              </w:rPr>
              <w:t>Top 95% Token Coverage Threshold</w:t>
            </w:r>
          </w:p>
        </w:tc>
        <w:tc>
          <w:tcPr>
            <w:tcW w:type="dxa" w:w="4896"/>
          </w:tcPr>
          <w:p>
            <w:pPr>
              <w:spacing w:before="60" w:after="60"/>
            </w:pPr>
            <w:r>
              <w:rPr>
                <w:rFonts w:ascii="Arial" w:hAnsi="Arial"/>
                <w:sz w:val="18"/>
              </w:rPr>
              <w:t>Top 3079 words</w:t>
            </w:r>
          </w:p>
        </w:tc>
      </w:tr>
      <w:tr>
        <w:tc>
          <w:tcPr>
            <w:tcW w:type="dxa" w:w="5184"/>
          </w:tcPr>
          <w:p>
            <w:pPr>
              <w:spacing w:before="60" w:after="60"/>
            </w:pPr>
            <w:r>
              <w:rPr>
                <w:rFonts w:ascii="Arial" w:hAnsi="Arial"/>
                <w:sz w:val="18"/>
              </w:rPr>
              <w:t>Total Sentences Extracted</w:t>
            </w:r>
          </w:p>
        </w:tc>
        <w:tc>
          <w:tcPr>
            <w:tcW w:type="dxa" w:w="4896"/>
          </w:tcPr>
          <w:p>
            <w:pPr>
              <w:spacing w:before="60" w:after="60"/>
            </w:pPr>
            <w:r>
              <w:rPr>
                <w:rFonts w:ascii="Arial" w:hAnsi="Arial"/>
                <w:sz w:val="18"/>
              </w:rPr>
              <w:t>5,144</w:t>
            </w:r>
          </w:p>
        </w:tc>
      </w:tr>
      <w:tr>
        <w:tc>
          <w:tcPr>
            <w:tcW w:type="dxa" w:w="5184"/>
          </w:tcPr>
          <w:p>
            <w:pPr>
              <w:spacing w:before="60" w:after="60"/>
            </w:pPr>
            <w:r>
              <w:rPr>
                <w:rFonts w:ascii="Arial" w:hAnsi="Arial"/>
                <w:sz w:val="18"/>
              </w:rPr>
              <w:t>Mean Sentence Length</w:t>
            </w:r>
          </w:p>
        </w:tc>
        <w:tc>
          <w:tcPr>
            <w:tcW w:type="dxa" w:w="4896"/>
          </w:tcPr>
          <w:p>
            <w:pPr>
              <w:spacing w:before="60" w:after="60"/>
            </w:pPr>
            <w:r>
              <w:rPr>
                <w:rFonts w:ascii="Arial" w:hAnsi="Arial"/>
                <w:sz w:val="18"/>
              </w:rPr>
              <w:t>20.41 ± 15.22 words</w:t>
            </w:r>
          </w:p>
        </w:tc>
      </w:tr>
      <w:tr>
        <w:tc>
          <w:tcPr>
            <w:tcW w:type="dxa" w:w="5184"/>
          </w:tcPr>
          <w:p>
            <w:pPr>
              <w:spacing w:before="60" w:after="60"/>
            </w:pPr>
            <w:r>
              <w:rPr>
                <w:rFonts w:ascii="Arial" w:hAnsi="Arial"/>
                <w:sz w:val="18"/>
              </w:rPr>
              <w:t>Median Sentence Length</w:t>
            </w:r>
          </w:p>
        </w:tc>
        <w:tc>
          <w:tcPr>
            <w:tcW w:type="dxa" w:w="4896"/>
          </w:tcPr>
          <w:p>
            <w:pPr>
              <w:spacing w:before="60" w:after="60"/>
            </w:pPr>
            <w:r>
              <w:rPr>
                <w:rFonts w:ascii="Arial" w:hAnsi="Arial"/>
                <w:sz w:val="18"/>
              </w:rPr>
              <w:t>17.0 words</w:t>
            </w:r>
          </w:p>
        </w:tc>
      </w:tr>
      <w:tr>
        <w:tc>
          <w:tcPr>
            <w:tcW w:type="dxa" w:w="5184"/>
          </w:tcPr>
          <w:p>
            <w:pPr>
              <w:spacing w:before="60" w:after="60"/>
            </w:pPr>
            <w:r>
              <w:rPr>
                <w:rFonts w:ascii="Arial" w:hAnsi="Arial"/>
                <w:sz w:val="18"/>
              </w:rPr>
              <w:t>IQR Sentence Length</w:t>
            </w:r>
          </w:p>
        </w:tc>
        <w:tc>
          <w:tcPr>
            <w:tcW w:type="dxa" w:w="4896"/>
          </w:tcPr>
          <w:p>
            <w:pPr>
              <w:spacing w:before="60" w:after="60"/>
            </w:pPr>
            <w:r>
              <w:rPr>
                <w:rFonts w:ascii="Arial" w:hAnsi="Arial"/>
                <w:sz w:val="18"/>
              </w:rPr>
              <w:t>[9.0, 28.0] words</w:t>
            </w:r>
          </w:p>
        </w:tc>
      </w:tr>
      <w:tr>
        <w:tc>
          <w:tcPr>
            <w:tcW w:type="dxa" w:w="5184"/>
          </w:tcPr>
          <w:p>
            <w:pPr>
              <w:spacing w:before="60" w:after="60"/>
            </w:pPr>
            <w:r>
              <w:rPr>
                <w:rFonts w:ascii="Arial" w:hAnsi="Arial"/>
                <w:sz w:val="18"/>
              </w:rPr>
              <w:t>95th Percentile Sentence Length</w:t>
            </w:r>
          </w:p>
        </w:tc>
        <w:tc>
          <w:tcPr>
            <w:tcW w:type="dxa" w:w="4896"/>
          </w:tcPr>
          <w:p>
            <w:pPr>
              <w:spacing w:before="60" w:after="60"/>
            </w:pPr>
            <w:r>
              <w:rPr>
                <w:rFonts w:ascii="Arial" w:hAnsi="Arial"/>
                <w:sz w:val="18"/>
              </w:rPr>
              <w:t>48.0 words</w:t>
            </w:r>
          </w:p>
        </w:tc>
      </w:tr>
    </w:tbl>
    <w:p>
      <w:pPr>
        <w:spacing w:before="120"/>
      </w:pPr>
      <w:r>
        <w:t>Information-Theoretic Compression: The empirical Shannon unigram entropy of the corpus is H = 8.7852 bits/token. This yields a theoretical zeroth-order perplexity lower bound of 2^H = 441.17 for any static unigram model. Our trained GRU achieves a test perplexity of 129.05, representing a 3.42x information compression over the unigram baseline and a 33.9x reduction over the uniform random vocabulary baseline (PPL = 4,378).</w:t>
      </w:r>
    </w:p>
    <w:p>
      <w:pPr>
        <w:pStyle w:val="Heading2"/>
      </w:pPr>
      <w:r>
        <w:rPr>
          <w:rFonts w:ascii="Arial" w:hAnsi="Arial"/>
          <w:b/>
          <w:color w:val="2C3E50"/>
          <w:sz w:val="25"/>
        </w:rPr>
        <w:t>3.2 Sentence Length Distribution &amp; Sequence Window Justification</w:t>
      </w:r>
    </w:p>
    <w:p>
      <w:r>
        <w:t>The corpus contains 5,144 sentences with a mean length of 20.41 words and a median of 17.0 words (IQR: [9.0, 28.0] words). The distribution is moderately right-skewed, characteristic of Victorian prose with subordinate clauses. Our choice of context sequence length L = 20 spans approximately 60% of all complete sentences in the text, ensuring that the recurrent hidden states capture complete clausal dependencies without exceeding the vanishing-gradient retention horizon of recurrent cells.</w:t>
      </w:r>
    </w:p>
    <w:p>
      <w:pPr>
        <w:spacing w:before="160" w:after="40"/>
        <w:jc w:val="center"/>
      </w:pPr>
      <w:r>
        <w:drawing>
          <wp:inline xmlns:a="http://schemas.openxmlformats.org/drawingml/2006/main" xmlns:pic="http://schemas.openxmlformats.org/drawingml/2006/picture">
            <wp:extent cx="5303520" cy="2921010"/>
            <wp:docPr id="2" name="Picture 2"/>
            <wp:cNvGraphicFramePr>
              <a:graphicFrameLocks noChangeAspect="1"/>
            </wp:cNvGraphicFramePr>
            <a:graphic>
              <a:graphicData uri="http://schemas.openxmlformats.org/drawingml/2006/picture">
                <pic:pic>
                  <pic:nvPicPr>
                    <pic:cNvPr id="0" name="eda_sentence_lengths.png"/>
                    <pic:cNvPicPr/>
                  </pic:nvPicPr>
                  <pic:blipFill>
                    <a:blip r:embed="rId10"/>
                    <a:stretch>
                      <a:fillRect/>
                    </a:stretch>
                  </pic:blipFill>
                  <pic:spPr>
                    <a:xfrm>
                      <a:off x="0" y="0"/>
                      <a:ext cx="5303520" cy="2921010"/>
                    </a:xfrm>
                    <a:prstGeom prst="rect"/>
                  </pic:spPr>
                </pic:pic>
              </a:graphicData>
            </a:graphic>
          </wp:inline>
        </w:drawing>
      </w:r>
    </w:p>
    <w:p>
      <w:pPr>
        <w:spacing w:after="200"/>
        <w:jc w:val="center"/>
      </w:pPr>
      <w:r>
        <w:rPr>
          <w:rFonts w:ascii="Arial" w:hAnsi="Arial"/>
          <w:i/>
          <w:color w:val="555555"/>
          <w:sz w:val="17"/>
        </w:rPr>
        <w:t>Figure 2: Empirical sentence length probability density distribution with mean (20.41 words), median (17.0 words), and 95th percentile markers.</w:t>
      </w:r>
    </w:p>
    <w:p>
      <w:pPr>
        <w:pStyle w:val="Heading2"/>
      </w:pPr>
      <w:r>
        <w:rPr>
          <w:rFonts w:ascii="Arial" w:hAnsi="Arial"/>
          <w:b/>
          <w:color w:val="2C3E50"/>
          <w:sz w:val="25"/>
        </w:rPr>
        <w:t>3.3 Empirical Zipf's Law Power-Law Verification</w:t>
      </w:r>
    </w:p>
    <w:p>
      <w:r>
        <w:t>Zipf's Law states that the occurrence frequency f(r) of a word is inversely proportional to its frequency rank r: f(r) = C / r^alpha, which linearizes in logarithmic coordinates as log10(f(r)) = log10(C) - alpha * log10(r). Ordinary least squares (OLS) regression over the top 1,000 token ranks yields an empirical exponent of alpha = 1.1161 with a coefficient of determination R^2 = 0.9966. This strong adherence confirms that the vocabulary follows standard natural language distributional power laws, where a small set of grammatical function words dominates the token stream while a vast tail of content words occurs rarely.</w:t>
      </w:r>
    </w:p>
    <w:p>
      <w:pPr>
        <w:spacing w:before="160" w:after="40"/>
        <w:jc w:val="center"/>
      </w:pPr>
      <w:r>
        <w:drawing>
          <wp:inline xmlns:a="http://schemas.openxmlformats.org/drawingml/2006/main" xmlns:pic="http://schemas.openxmlformats.org/drawingml/2006/picture">
            <wp:extent cx="5303520" cy="3215880"/>
            <wp:docPr id="3" name="Picture 3"/>
            <wp:cNvGraphicFramePr>
              <a:graphicFrameLocks noChangeAspect="1"/>
            </wp:cNvGraphicFramePr>
            <a:graphic>
              <a:graphicData uri="http://schemas.openxmlformats.org/drawingml/2006/picture">
                <pic:pic>
                  <pic:nvPicPr>
                    <pic:cNvPr id="0" name="eda_zipf_law.png"/>
                    <pic:cNvPicPr/>
                  </pic:nvPicPr>
                  <pic:blipFill>
                    <a:blip r:embed="rId11"/>
                    <a:stretch>
                      <a:fillRect/>
                    </a:stretch>
                  </pic:blipFill>
                  <pic:spPr>
                    <a:xfrm>
                      <a:off x="0" y="0"/>
                      <a:ext cx="5303520" cy="3215880"/>
                    </a:xfrm>
                    <a:prstGeom prst="rect"/>
                  </pic:spPr>
                </pic:pic>
              </a:graphicData>
            </a:graphic>
          </wp:inline>
        </w:drawing>
      </w:r>
    </w:p>
    <w:p>
      <w:pPr>
        <w:spacing w:after="200"/>
        <w:jc w:val="center"/>
      </w:pPr>
      <w:r>
        <w:rPr>
          <w:rFonts w:ascii="Arial" w:hAnsi="Arial"/>
          <w:i/>
          <w:color w:val="555555"/>
          <w:sz w:val="17"/>
        </w:rPr>
        <w:t>Figure 3: Empirical rank-frequency Zipfian distribution on log-log coordinates compared against the theoretical power-law fit (alpha = 1.1161, R^2 = 0.9966).</w:t>
      </w:r>
    </w:p>
    <w:p>
      <w:pPr>
        <w:pStyle w:val="Heading2"/>
      </w:pPr>
      <w:r>
        <w:rPr>
          <w:rFonts w:ascii="Arial" w:hAnsi="Arial"/>
          <w:b/>
          <w:color w:val="2C3E50"/>
          <w:sz w:val="25"/>
        </w:rPr>
        <w:t>3.4 Cumulative Lexical Coverage &amp; Out-of-Vocabulary Analysis</w:t>
      </w:r>
    </w:p>
    <w:p>
      <w:r>
        <w:t>An analysis of cumulative token coverage reveals steep initial concentration: the top 40 words alone account for 50.0% of all tokens in the corpus, while the top 517 words account for 80.0% (Pareto threshold). Setting the minimum word frequency threshold to min_freq &gt;= 2 yields an effective vocabulary size of V = 4,378 distinct tokens. This active vocabulary covers over 97.4% of all running tokens in the corpus, restricting the out-of-vocabulary (&lt;UNK&gt;) rate to just 2.6%. This strikes an optimal trade-off between vocabulary expressiveness and softmax projection computational cost.</w:t>
      </w:r>
    </w:p>
    <w:p>
      <w:pPr>
        <w:spacing w:before="160" w:after="40"/>
        <w:jc w:val="center"/>
      </w:pPr>
      <w:r>
        <w:drawing>
          <wp:inline xmlns:a="http://schemas.openxmlformats.org/drawingml/2006/main" xmlns:pic="http://schemas.openxmlformats.org/drawingml/2006/picture">
            <wp:extent cx="5303520" cy="2910106"/>
            <wp:docPr id="4" name="Picture 4"/>
            <wp:cNvGraphicFramePr>
              <a:graphicFrameLocks noChangeAspect="1"/>
            </wp:cNvGraphicFramePr>
            <a:graphic>
              <a:graphicData uri="http://schemas.openxmlformats.org/drawingml/2006/picture">
                <pic:pic>
                  <pic:nvPicPr>
                    <pic:cNvPr id="0" name="eda_token_coverage.png"/>
                    <pic:cNvPicPr/>
                  </pic:nvPicPr>
                  <pic:blipFill>
                    <a:blip r:embed="rId12"/>
                    <a:stretch>
                      <a:fillRect/>
                    </a:stretch>
                  </pic:blipFill>
                  <pic:spPr>
                    <a:xfrm>
                      <a:off x="0" y="0"/>
                      <a:ext cx="5303520" cy="2910106"/>
                    </a:xfrm>
                    <a:prstGeom prst="rect"/>
                  </pic:spPr>
                </pic:pic>
              </a:graphicData>
            </a:graphic>
          </wp:inline>
        </w:drawing>
      </w:r>
    </w:p>
    <w:p>
      <w:pPr>
        <w:spacing w:after="200"/>
        <w:jc w:val="center"/>
      </w:pPr>
      <w:r>
        <w:rPr>
          <w:rFonts w:ascii="Arial" w:hAnsi="Arial"/>
          <w:i/>
          <w:color w:val="555555"/>
          <w:sz w:val="17"/>
        </w:rPr>
        <w:t>Figure 4: Cumulative lexical coverage curve versus vocabulary rank, highlighting the 50%, 80%, and 95% coverage thresholds and the active vocabulary cutoff.</w:t>
      </w:r>
    </w:p>
    <w:p>
      <w:pPr>
        <w:pStyle w:val="Heading2"/>
      </w:pPr>
      <w:r>
        <w:rPr>
          <w:rFonts w:ascii="Arial" w:hAnsi="Arial"/>
          <w:b/>
          <w:color w:val="2C3E50"/>
          <w:sz w:val="25"/>
        </w:rPr>
        <w:t>3.5 Frequent Collocations &amp; N-Gram Profiles</w:t>
      </w:r>
    </w:p>
    <w:p>
      <w:r>
        <w:t>N-gram frequency analysis highlights the predominant syntactic collocations in Conan Doyle's prose. Excluding isolated punctuation, the most frequent bigrams represent prepositional phrases ('of the', 'in the', 'to the', 'at the') and first-person narrative framing ('it is', 'i have', 'it was', 'that i'). These collocations serve as primary qualitative benchmarks when inspecting model-generated sequences.</w:t>
      </w:r>
    </w:p>
    <w:p>
      <w:pPr>
        <w:spacing w:before="160" w:after="40"/>
        <w:jc w:val="center"/>
      </w:pPr>
      <w:r>
        <w:drawing>
          <wp:inline xmlns:a="http://schemas.openxmlformats.org/drawingml/2006/main" xmlns:pic="http://schemas.openxmlformats.org/drawingml/2006/picture">
            <wp:extent cx="5486400" cy="2340601"/>
            <wp:docPr id="5" name="Picture 5"/>
            <wp:cNvGraphicFramePr>
              <a:graphicFrameLocks noChangeAspect="1"/>
            </wp:cNvGraphicFramePr>
            <a:graphic>
              <a:graphicData uri="http://schemas.openxmlformats.org/drawingml/2006/picture">
                <pic:pic>
                  <pic:nvPicPr>
                    <pic:cNvPr id="0" name="eda_top_ngrams.png"/>
                    <pic:cNvPicPr/>
                  </pic:nvPicPr>
                  <pic:blipFill>
                    <a:blip r:embed="rId13"/>
                    <a:stretch>
                      <a:fillRect/>
                    </a:stretch>
                  </pic:blipFill>
                  <pic:spPr>
                    <a:xfrm>
                      <a:off x="0" y="0"/>
                      <a:ext cx="5486400" cy="2340601"/>
                    </a:xfrm>
                    <a:prstGeom prst="rect"/>
                  </pic:spPr>
                </pic:pic>
              </a:graphicData>
            </a:graphic>
          </wp:inline>
        </w:drawing>
      </w:r>
    </w:p>
    <w:p>
      <w:pPr>
        <w:spacing w:after="200"/>
        <w:jc w:val="center"/>
      </w:pPr>
      <w:r>
        <w:rPr>
          <w:rFonts w:ascii="Arial" w:hAnsi="Arial"/>
          <w:i/>
          <w:color w:val="555555"/>
          <w:sz w:val="17"/>
        </w:rPr>
        <w:t>Figure 5: High-frequency lexical profiles for Top 12 Unigram word tokens (Panel A) and Top 12 Bigram collocations (Panel B).</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864"/>
            <w:shd w:fill="1B365D"/>
          </w:tcPr>
          <w:p>
            <w:pPr>
              <w:spacing w:before="60" w:after="60"/>
            </w:pPr>
            <w:r>
              <w:rPr>
                <w:rFonts w:ascii="Arial" w:hAnsi="Arial"/>
                <w:b/>
                <w:color w:val="FFFFFF"/>
                <w:sz w:val="18"/>
              </w:rPr>
              <w:t>Rank</w:t>
            </w:r>
          </w:p>
        </w:tc>
        <w:tc>
          <w:tcPr>
            <w:tcW w:type="dxa" w:w="1584"/>
            <w:shd w:fill="1B365D"/>
          </w:tcPr>
          <w:p>
            <w:pPr>
              <w:spacing w:before="60" w:after="60"/>
            </w:pPr>
            <w:r>
              <w:rPr>
                <w:rFonts w:ascii="Arial" w:hAnsi="Arial"/>
                <w:b/>
                <w:color w:val="FFFFFF"/>
                <w:sz w:val="18"/>
              </w:rPr>
              <w:t>Unigram</w:t>
            </w:r>
          </w:p>
        </w:tc>
        <w:tc>
          <w:tcPr>
            <w:tcW w:type="dxa" w:w="1296"/>
            <w:shd w:fill="1B365D"/>
          </w:tcPr>
          <w:p>
            <w:pPr>
              <w:spacing w:before="60" w:after="60"/>
            </w:pPr>
            <w:r>
              <w:rPr>
                <w:rFonts w:ascii="Arial" w:hAnsi="Arial"/>
                <w:b/>
                <w:color w:val="FFFFFF"/>
                <w:sz w:val="18"/>
              </w:rPr>
              <w:t>Count</w:t>
            </w:r>
          </w:p>
        </w:tc>
        <w:tc>
          <w:tcPr>
            <w:tcW w:type="dxa" w:w="1584"/>
            <w:shd w:fill="1B365D"/>
          </w:tcPr>
          <w:p>
            <w:pPr>
              <w:spacing w:before="60" w:after="60"/>
            </w:pPr>
            <w:r>
              <w:rPr>
                <w:rFonts w:ascii="Arial" w:hAnsi="Arial"/>
                <w:b/>
                <w:color w:val="FFFFFF"/>
                <w:sz w:val="18"/>
              </w:rPr>
              <w:t>Unigram %</w:t>
            </w:r>
          </w:p>
        </w:tc>
        <w:tc>
          <w:tcPr>
            <w:tcW w:type="dxa" w:w="1872"/>
            <w:shd w:fill="1B365D"/>
          </w:tcPr>
          <w:p>
            <w:pPr>
              <w:spacing w:before="60" w:after="60"/>
            </w:pPr>
            <w:r>
              <w:rPr>
                <w:rFonts w:ascii="Arial" w:hAnsi="Arial"/>
                <w:b/>
                <w:color w:val="FFFFFF"/>
                <w:sz w:val="18"/>
              </w:rPr>
              <w:t>Bigram</w:t>
            </w:r>
          </w:p>
        </w:tc>
        <w:tc>
          <w:tcPr>
            <w:tcW w:type="dxa" w:w="1296"/>
            <w:shd w:fill="1B365D"/>
          </w:tcPr>
          <w:p>
            <w:pPr>
              <w:spacing w:before="60" w:after="60"/>
            </w:pPr>
            <w:r>
              <w:rPr>
                <w:rFonts w:ascii="Arial" w:hAnsi="Arial"/>
                <w:b/>
                <w:color w:val="FFFFFF"/>
                <w:sz w:val="18"/>
              </w:rPr>
              <w:t>Count</w:t>
            </w:r>
          </w:p>
        </w:tc>
        <w:tc>
          <w:tcPr>
            <w:tcW w:type="dxa" w:w="1584"/>
            <w:shd w:fill="1B365D"/>
          </w:tcPr>
          <w:p>
            <w:pPr>
              <w:spacing w:before="60" w:after="60"/>
            </w:pPr>
            <w:r>
              <w:rPr>
                <w:rFonts w:ascii="Arial" w:hAnsi="Arial"/>
                <w:b/>
                <w:color w:val="FFFFFF"/>
                <w:sz w:val="18"/>
              </w:rPr>
              <w:t>Bigram %</w:t>
            </w:r>
          </w:p>
        </w:tc>
      </w:tr>
      <w:tr>
        <w:tc>
          <w:tcPr>
            <w:tcW w:type="dxa" w:w="864"/>
          </w:tcPr>
          <w:p>
            <w:pPr>
              <w:spacing w:before="60" w:after="60"/>
            </w:pPr>
            <w:r>
              <w:rPr>
                <w:rFonts w:ascii="Arial" w:hAnsi="Arial"/>
                <w:sz w:val="18"/>
              </w:rPr>
              <w:t>1</w:t>
            </w:r>
          </w:p>
        </w:tc>
        <w:tc>
          <w:tcPr>
            <w:tcW w:type="dxa" w:w="1584"/>
          </w:tcPr>
          <w:p>
            <w:pPr>
              <w:spacing w:before="60" w:after="60"/>
            </w:pPr>
            <w:r>
              <w:rPr>
                <w:rFonts w:ascii="Arial" w:hAnsi="Arial"/>
                <w:sz w:val="18"/>
              </w:rPr>
              <w:t>the</w:t>
            </w:r>
          </w:p>
        </w:tc>
        <w:tc>
          <w:tcPr>
            <w:tcW w:type="dxa" w:w="1296"/>
          </w:tcPr>
          <w:p>
            <w:pPr>
              <w:spacing w:before="60" w:after="60"/>
            </w:pPr>
            <w:r>
              <w:rPr>
                <w:rFonts w:ascii="Arial" w:hAnsi="Arial"/>
                <w:sz w:val="18"/>
              </w:rPr>
              <w:t>5,630</w:t>
            </w:r>
          </w:p>
        </w:tc>
        <w:tc>
          <w:tcPr>
            <w:tcW w:type="dxa" w:w="1584"/>
          </w:tcPr>
          <w:p>
            <w:pPr>
              <w:spacing w:before="60" w:after="60"/>
            </w:pPr>
            <w:r>
              <w:rPr>
                <w:rFonts w:ascii="Arial" w:hAnsi="Arial"/>
                <w:sz w:val="18"/>
              </w:rPr>
              <w:t>5.318%</w:t>
            </w:r>
          </w:p>
        </w:tc>
        <w:tc>
          <w:tcPr>
            <w:tcW w:type="dxa" w:w="1872"/>
          </w:tcPr>
          <w:p>
            <w:pPr>
              <w:spacing w:before="60" w:after="60"/>
            </w:pPr>
            <w:r>
              <w:rPr>
                <w:rFonts w:ascii="Arial" w:hAnsi="Arial"/>
                <w:sz w:val="18"/>
              </w:rPr>
              <w:t>of the</w:t>
            </w:r>
          </w:p>
        </w:tc>
        <w:tc>
          <w:tcPr>
            <w:tcW w:type="dxa" w:w="1296"/>
          </w:tcPr>
          <w:p>
            <w:pPr>
              <w:spacing w:before="60" w:after="60"/>
            </w:pPr>
            <w:r>
              <w:rPr>
                <w:rFonts w:ascii="Arial" w:hAnsi="Arial"/>
                <w:sz w:val="18"/>
              </w:rPr>
              <w:t>714</w:t>
            </w:r>
          </w:p>
        </w:tc>
        <w:tc>
          <w:tcPr>
            <w:tcW w:type="dxa" w:w="1584"/>
          </w:tcPr>
          <w:p>
            <w:pPr>
              <w:spacing w:before="60" w:after="60"/>
            </w:pPr>
            <w:r>
              <w:rPr>
                <w:rFonts w:ascii="Arial" w:hAnsi="Arial"/>
                <w:sz w:val="18"/>
              </w:rPr>
              <w:t>0.674%</w:t>
            </w:r>
          </w:p>
        </w:tc>
      </w:tr>
      <w:tr>
        <w:tc>
          <w:tcPr>
            <w:tcW w:type="dxa" w:w="864"/>
          </w:tcPr>
          <w:p>
            <w:pPr>
              <w:spacing w:before="60" w:after="60"/>
            </w:pPr>
            <w:r>
              <w:rPr>
                <w:rFonts w:ascii="Arial" w:hAnsi="Arial"/>
                <w:sz w:val="18"/>
              </w:rPr>
              <w:t>2</w:t>
            </w:r>
          </w:p>
        </w:tc>
        <w:tc>
          <w:tcPr>
            <w:tcW w:type="dxa" w:w="1584"/>
          </w:tcPr>
          <w:p>
            <w:pPr>
              <w:spacing w:before="60" w:after="60"/>
            </w:pPr>
            <w:r>
              <w:rPr>
                <w:rFonts w:ascii="Arial" w:hAnsi="Arial"/>
                <w:sz w:val="18"/>
              </w:rPr>
              <w:t>i</w:t>
            </w:r>
          </w:p>
        </w:tc>
        <w:tc>
          <w:tcPr>
            <w:tcW w:type="dxa" w:w="1296"/>
          </w:tcPr>
          <w:p>
            <w:pPr>
              <w:spacing w:before="60" w:after="60"/>
            </w:pPr>
            <w:r>
              <w:rPr>
                <w:rFonts w:ascii="Arial" w:hAnsi="Arial"/>
                <w:sz w:val="18"/>
              </w:rPr>
              <w:t>3,038</w:t>
            </w:r>
          </w:p>
        </w:tc>
        <w:tc>
          <w:tcPr>
            <w:tcW w:type="dxa" w:w="1584"/>
          </w:tcPr>
          <w:p>
            <w:pPr>
              <w:spacing w:before="60" w:after="60"/>
            </w:pPr>
            <w:r>
              <w:rPr>
                <w:rFonts w:ascii="Arial" w:hAnsi="Arial"/>
                <w:sz w:val="18"/>
              </w:rPr>
              <w:t>2.870%</w:t>
            </w:r>
          </w:p>
        </w:tc>
        <w:tc>
          <w:tcPr>
            <w:tcW w:type="dxa" w:w="1872"/>
          </w:tcPr>
          <w:p>
            <w:pPr>
              <w:spacing w:before="60" w:after="60"/>
            </w:pPr>
            <w:r>
              <w:rPr>
                <w:rFonts w:ascii="Arial" w:hAnsi="Arial"/>
                <w:sz w:val="18"/>
              </w:rPr>
              <w:t>in the</w:t>
            </w:r>
          </w:p>
        </w:tc>
        <w:tc>
          <w:tcPr>
            <w:tcW w:type="dxa" w:w="1296"/>
          </w:tcPr>
          <w:p>
            <w:pPr>
              <w:spacing w:before="60" w:after="60"/>
            </w:pPr>
            <w:r>
              <w:rPr>
                <w:rFonts w:ascii="Arial" w:hAnsi="Arial"/>
                <w:sz w:val="18"/>
              </w:rPr>
              <w:t>506</w:t>
            </w:r>
          </w:p>
        </w:tc>
        <w:tc>
          <w:tcPr>
            <w:tcW w:type="dxa" w:w="1584"/>
          </w:tcPr>
          <w:p>
            <w:pPr>
              <w:spacing w:before="60" w:after="60"/>
            </w:pPr>
            <w:r>
              <w:rPr>
                <w:rFonts w:ascii="Arial" w:hAnsi="Arial"/>
                <w:sz w:val="18"/>
              </w:rPr>
              <w:t>0.478%</w:t>
            </w:r>
          </w:p>
        </w:tc>
      </w:tr>
      <w:tr>
        <w:tc>
          <w:tcPr>
            <w:tcW w:type="dxa" w:w="864"/>
          </w:tcPr>
          <w:p>
            <w:pPr>
              <w:spacing w:before="60" w:after="60"/>
            </w:pPr>
            <w:r>
              <w:rPr>
                <w:rFonts w:ascii="Arial" w:hAnsi="Arial"/>
                <w:sz w:val="18"/>
              </w:rPr>
              <w:t>3</w:t>
            </w:r>
          </w:p>
        </w:tc>
        <w:tc>
          <w:tcPr>
            <w:tcW w:type="dxa" w:w="1584"/>
          </w:tcPr>
          <w:p>
            <w:pPr>
              <w:spacing w:before="60" w:after="60"/>
            </w:pPr>
            <w:r>
              <w:rPr>
                <w:rFonts w:ascii="Arial" w:hAnsi="Arial"/>
                <w:sz w:val="18"/>
              </w:rPr>
              <w:t>and</w:t>
            </w:r>
          </w:p>
        </w:tc>
        <w:tc>
          <w:tcPr>
            <w:tcW w:type="dxa" w:w="1296"/>
          </w:tcPr>
          <w:p>
            <w:pPr>
              <w:spacing w:before="60" w:after="60"/>
            </w:pPr>
            <w:r>
              <w:rPr>
                <w:rFonts w:ascii="Arial" w:hAnsi="Arial"/>
                <w:sz w:val="18"/>
              </w:rPr>
              <w:t>3,018</w:t>
            </w:r>
          </w:p>
        </w:tc>
        <w:tc>
          <w:tcPr>
            <w:tcW w:type="dxa" w:w="1584"/>
          </w:tcPr>
          <w:p>
            <w:pPr>
              <w:spacing w:before="60" w:after="60"/>
            </w:pPr>
            <w:r>
              <w:rPr>
                <w:rFonts w:ascii="Arial" w:hAnsi="Arial"/>
                <w:sz w:val="18"/>
              </w:rPr>
              <w:t>2.851%</w:t>
            </w:r>
          </w:p>
        </w:tc>
        <w:tc>
          <w:tcPr>
            <w:tcW w:type="dxa" w:w="1872"/>
          </w:tcPr>
          <w:p>
            <w:pPr>
              <w:spacing w:before="60" w:after="60"/>
            </w:pPr>
            <w:r>
              <w:rPr>
                <w:rFonts w:ascii="Arial" w:hAnsi="Arial"/>
                <w:sz w:val="18"/>
              </w:rPr>
              <w:t>it is</w:t>
            </w:r>
          </w:p>
        </w:tc>
        <w:tc>
          <w:tcPr>
            <w:tcW w:type="dxa" w:w="1296"/>
          </w:tcPr>
          <w:p>
            <w:pPr>
              <w:spacing w:before="60" w:after="60"/>
            </w:pPr>
            <w:r>
              <w:rPr>
                <w:rFonts w:ascii="Arial" w:hAnsi="Arial"/>
                <w:sz w:val="18"/>
              </w:rPr>
              <w:t>335</w:t>
            </w:r>
          </w:p>
        </w:tc>
        <w:tc>
          <w:tcPr>
            <w:tcW w:type="dxa" w:w="1584"/>
          </w:tcPr>
          <w:p>
            <w:pPr>
              <w:spacing w:before="60" w:after="60"/>
            </w:pPr>
            <w:r>
              <w:rPr>
                <w:rFonts w:ascii="Arial" w:hAnsi="Arial"/>
                <w:sz w:val="18"/>
              </w:rPr>
              <w:t>0.316%</w:t>
            </w:r>
          </w:p>
        </w:tc>
      </w:tr>
      <w:tr>
        <w:tc>
          <w:tcPr>
            <w:tcW w:type="dxa" w:w="864"/>
          </w:tcPr>
          <w:p>
            <w:pPr>
              <w:spacing w:before="60" w:after="60"/>
            </w:pPr>
            <w:r>
              <w:rPr>
                <w:rFonts w:ascii="Arial" w:hAnsi="Arial"/>
                <w:sz w:val="18"/>
              </w:rPr>
              <w:t>4</w:t>
            </w:r>
          </w:p>
        </w:tc>
        <w:tc>
          <w:tcPr>
            <w:tcW w:type="dxa" w:w="1584"/>
          </w:tcPr>
          <w:p>
            <w:pPr>
              <w:spacing w:before="60" w:after="60"/>
            </w:pPr>
            <w:r>
              <w:rPr>
                <w:rFonts w:ascii="Arial" w:hAnsi="Arial"/>
                <w:sz w:val="18"/>
              </w:rPr>
              <w:t>to</w:t>
            </w:r>
          </w:p>
        </w:tc>
        <w:tc>
          <w:tcPr>
            <w:tcW w:type="dxa" w:w="1296"/>
          </w:tcPr>
          <w:p>
            <w:pPr>
              <w:spacing w:before="60" w:after="60"/>
            </w:pPr>
            <w:r>
              <w:rPr>
                <w:rFonts w:ascii="Arial" w:hAnsi="Arial"/>
                <w:sz w:val="18"/>
              </w:rPr>
              <w:t>2,744</w:t>
            </w:r>
          </w:p>
        </w:tc>
        <w:tc>
          <w:tcPr>
            <w:tcW w:type="dxa" w:w="1584"/>
          </w:tcPr>
          <w:p>
            <w:pPr>
              <w:spacing w:before="60" w:after="60"/>
            </w:pPr>
            <w:r>
              <w:rPr>
                <w:rFonts w:ascii="Arial" w:hAnsi="Arial"/>
                <w:sz w:val="18"/>
              </w:rPr>
              <w:t>2.592%</w:t>
            </w:r>
          </w:p>
        </w:tc>
        <w:tc>
          <w:tcPr>
            <w:tcW w:type="dxa" w:w="1872"/>
          </w:tcPr>
          <w:p>
            <w:pPr>
              <w:spacing w:before="60" w:after="60"/>
            </w:pPr>
            <w:r>
              <w:rPr>
                <w:rFonts w:ascii="Arial" w:hAnsi="Arial"/>
                <w:sz w:val="18"/>
              </w:rPr>
              <w:t>to the</w:t>
            </w:r>
          </w:p>
        </w:tc>
        <w:tc>
          <w:tcPr>
            <w:tcW w:type="dxa" w:w="1296"/>
          </w:tcPr>
          <w:p>
            <w:pPr>
              <w:spacing w:before="60" w:after="60"/>
            </w:pPr>
            <w:r>
              <w:rPr>
                <w:rFonts w:ascii="Arial" w:hAnsi="Arial"/>
                <w:sz w:val="18"/>
              </w:rPr>
              <w:t>304</w:t>
            </w:r>
          </w:p>
        </w:tc>
        <w:tc>
          <w:tcPr>
            <w:tcW w:type="dxa" w:w="1584"/>
          </w:tcPr>
          <w:p>
            <w:pPr>
              <w:spacing w:before="60" w:after="60"/>
            </w:pPr>
            <w:r>
              <w:rPr>
                <w:rFonts w:ascii="Arial" w:hAnsi="Arial"/>
                <w:sz w:val="18"/>
              </w:rPr>
              <w:t>0.287%</w:t>
            </w:r>
          </w:p>
        </w:tc>
      </w:tr>
      <w:tr>
        <w:tc>
          <w:tcPr>
            <w:tcW w:type="dxa" w:w="864"/>
          </w:tcPr>
          <w:p>
            <w:pPr>
              <w:spacing w:before="60" w:after="60"/>
            </w:pPr>
            <w:r>
              <w:rPr>
                <w:rFonts w:ascii="Arial" w:hAnsi="Arial"/>
                <w:sz w:val="18"/>
              </w:rPr>
              <w:t>5</w:t>
            </w:r>
          </w:p>
        </w:tc>
        <w:tc>
          <w:tcPr>
            <w:tcW w:type="dxa" w:w="1584"/>
          </w:tcPr>
          <w:p>
            <w:pPr>
              <w:spacing w:before="60" w:after="60"/>
            </w:pPr>
            <w:r>
              <w:rPr>
                <w:rFonts w:ascii="Arial" w:hAnsi="Arial"/>
                <w:sz w:val="18"/>
              </w:rPr>
              <w:t>of</w:t>
            </w:r>
          </w:p>
        </w:tc>
        <w:tc>
          <w:tcPr>
            <w:tcW w:type="dxa" w:w="1296"/>
          </w:tcPr>
          <w:p>
            <w:pPr>
              <w:spacing w:before="60" w:after="60"/>
            </w:pPr>
            <w:r>
              <w:rPr>
                <w:rFonts w:ascii="Arial" w:hAnsi="Arial"/>
                <w:sz w:val="18"/>
              </w:rPr>
              <w:t>2,655</w:t>
            </w:r>
          </w:p>
        </w:tc>
        <w:tc>
          <w:tcPr>
            <w:tcW w:type="dxa" w:w="1584"/>
          </w:tcPr>
          <w:p>
            <w:pPr>
              <w:spacing w:before="60" w:after="60"/>
            </w:pPr>
            <w:r>
              <w:rPr>
                <w:rFonts w:ascii="Arial" w:hAnsi="Arial"/>
                <w:sz w:val="18"/>
              </w:rPr>
              <w:t>2.508%</w:t>
            </w:r>
          </w:p>
        </w:tc>
        <w:tc>
          <w:tcPr>
            <w:tcW w:type="dxa" w:w="1872"/>
          </w:tcPr>
          <w:p>
            <w:pPr>
              <w:spacing w:before="60" w:after="60"/>
            </w:pPr>
            <w:r>
              <w:rPr>
                <w:rFonts w:ascii="Arial" w:hAnsi="Arial"/>
                <w:sz w:val="18"/>
              </w:rPr>
              <w:t>i have</w:t>
            </w:r>
          </w:p>
        </w:tc>
        <w:tc>
          <w:tcPr>
            <w:tcW w:type="dxa" w:w="1296"/>
          </w:tcPr>
          <w:p>
            <w:pPr>
              <w:spacing w:before="60" w:after="60"/>
            </w:pPr>
            <w:r>
              <w:rPr>
                <w:rFonts w:ascii="Arial" w:hAnsi="Arial"/>
                <w:sz w:val="18"/>
              </w:rPr>
              <w:t>301</w:t>
            </w:r>
          </w:p>
        </w:tc>
        <w:tc>
          <w:tcPr>
            <w:tcW w:type="dxa" w:w="1584"/>
          </w:tcPr>
          <w:p>
            <w:pPr>
              <w:spacing w:before="60" w:after="60"/>
            </w:pPr>
            <w:r>
              <w:rPr>
                <w:rFonts w:ascii="Arial" w:hAnsi="Arial"/>
                <w:sz w:val="18"/>
              </w:rPr>
              <w:t>0.284%</w:t>
            </w:r>
          </w:p>
        </w:tc>
      </w:tr>
      <w:tr>
        <w:tc>
          <w:tcPr>
            <w:tcW w:type="dxa" w:w="864"/>
          </w:tcPr>
          <w:p>
            <w:pPr>
              <w:spacing w:before="60" w:after="60"/>
            </w:pPr>
            <w:r>
              <w:rPr>
                <w:rFonts w:ascii="Arial" w:hAnsi="Arial"/>
                <w:sz w:val="18"/>
              </w:rPr>
              <w:t>6</w:t>
            </w:r>
          </w:p>
        </w:tc>
        <w:tc>
          <w:tcPr>
            <w:tcW w:type="dxa" w:w="1584"/>
          </w:tcPr>
          <w:p>
            <w:pPr>
              <w:spacing w:before="60" w:after="60"/>
            </w:pPr>
            <w:r>
              <w:rPr>
                <w:rFonts w:ascii="Arial" w:hAnsi="Arial"/>
                <w:sz w:val="18"/>
              </w:rPr>
              <w:t>a</w:t>
            </w:r>
          </w:p>
        </w:tc>
        <w:tc>
          <w:tcPr>
            <w:tcW w:type="dxa" w:w="1296"/>
          </w:tcPr>
          <w:p>
            <w:pPr>
              <w:spacing w:before="60" w:after="60"/>
            </w:pPr>
            <w:r>
              <w:rPr>
                <w:rFonts w:ascii="Arial" w:hAnsi="Arial"/>
                <w:sz w:val="18"/>
              </w:rPr>
              <w:t>2,643</w:t>
            </w:r>
          </w:p>
        </w:tc>
        <w:tc>
          <w:tcPr>
            <w:tcW w:type="dxa" w:w="1584"/>
          </w:tcPr>
          <w:p>
            <w:pPr>
              <w:spacing w:before="60" w:after="60"/>
            </w:pPr>
            <w:r>
              <w:rPr>
                <w:rFonts w:ascii="Arial" w:hAnsi="Arial"/>
                <w:sz w:val="18"/>
              </w:rPr>
              <w:t>2.497%</w:t>
            </w:r>
          </w:p>
        </w:tc>
        <w:tc>
          <w:tcPr>
            <w:tcW w:type="dxa" w:w="1872"/>
          </w:tcPr>
          <w:p>
            <w:pPr>
              <w:spacing w:before="60" w:after="60"/>
            </w:pPr>
            <w:r>
              <w:rPr>
                <w:rFonts w:ascii="Arial" w:hAnsi="Arial"/>
                <w:sz w:val="18"/>
              </w:rPr>
              <w:t>it was</w:t>
            </w:r>
          </w:p>
        </w:tc>
        <w:tc>
          <w:tcPr>
            <w:tcW w:type="dxa" w:w="1296"/>
          </w:tcPr>
          <w:p>
            <w:pPr>
              <w:spacing w:before="60" w:after="60"/>
            </w:pPr>
            <w:r>
              <w:rPr>
                <w:rFonts w:ascii="Arial" w:hAnsi="Arial"/>
                <w:sz w:val="18"/>
              </w:rPr>
              <w:t>279</w:t>
            </w:r>
          </w:p>
        </w:tc>
        <w:tc>
          <w:tcPr>
            <w:tcW w:type="dxa" w:w="1584"/>
          </w:tcPr>
          <w:p>
            <w:pPr>
              <w:spacing w:before="60" w:after="60"/>
            </w:pPr>
            <w:r>
              <w:rPr>
                <w:rFonts w:ascii="Arial" w:hAnsi="Arial"/>
                <w:sz w:val="18"/>
              </w:rPr>
              <w:t>0.264%</w:t>
            </w:r>
          </w:p>
        </w:tc>
      </w:tr>
      <w:tr>
        <w:tc>
          <w:tcPr>
            <w:tcW w:type="dxa" w:w="864"/>
          </w:tcPr>
          <w:p>
            <w:pPr>
              <w:spacing w:before="60" w:after="60"/>
            </w:pPr>
            <w:r>
              <w:rPr>
                <w:rFonts w:ascii="Arial" w:hAnsi="Arial"/>
                <w:sz w:val="18"/>
              </w:rPr>
              <w:t>7</w:t>
            </w:r>
          </w:p>
        </w:tc>
        <w:tc>
          <w:tcPr>
            <w:tcW w:type="dxa" w:w="1584"/>
          </w:tcPr>
          <w:p>
            <w:pPr>
              <w:spacing w:before="60" w:after="60"/>
            </w:pPr>
            <w:r>
              <w:rPr>
                <w:rFonts w:ascii="Arial" w:hAnsi="Arial"/>
                <w:sz w:val="18"/>
              </w:rPr>
              <w:t>in</w:t>
            </w:r>
          </w:p>
        </w:tc>
        <w:tc>
          <w:tcPr>
            <w:tcW w:type="dxa" w:w="1296"/>
          </w:tcPr>
          <w:p>
            <w:pPr>
              <w:spacing w:before="60" w:after="60"/>
            </w:pPr>
            <w:r>
              <w:rPr>
                <w:rFonts w:ascii="Arial" w:hAnsi="Arial"/>
                <w:sz w:val="18"/>
              </w:rPr>
              <w:t>1,766</w:t>
            </w:r>
          </w:p>
        </w:tc>
        <w:tc>
          <w:tcPr>
            <w:tcW w:type="dxa" w:w="1584"/>
          </w:tcPr>
          <w:p>
            <w:pPr>
              <w:spacing w:before="60" w:after="60"/>
            </w:pPr>
            <w:r>
              <w:rPr>
                <w:rFonts w:ascii="Arial" w:hAnsi="Arial"/>
                <w:sz w:val="18"/>
              </w:rPr>
              <w:t>1.668%</w:t>
            </w:r>
          </w:p>
        </w:tc>
        <w:tc>
          <w:tcPr>
            <w:tcW w:type="dxa" w:w="1872"/>
          </w:tcPr>
          <w:p>
            <w:pPr>
              <w:spacing w:before="60" w:after="60"/>
            </w:pPr>
            <w:r>
              <w:rPr>
                <w:rFonts w:ascii="Arial" w:hAnsi="Arial"/>
                <w:sz w:val="18"/>
              </w:rPr>
              <w:t>that i</w:t>
            </w:r>
          </w:p>
        </w:tc>
        <w:tc>
          <w:tcPr>
            <w:tcW w:type="dxa" w:w="1296"/>
          </w:tcPr>
          <w:p>
            <w:pPr>
              <w:spacing w:before="60" w:after="60"/>
            </w:pPr>
            <w:r>
              <w:rPr>
                <w:rFonts w:ascii="Arial" w:hAnsi="Arial"/>
                <w:sz w:val="18"/>
              </w:rPr>
              <w:t>257</w:t>
            </w:r>
          </w:p>
        </w:tc>
        <w:tc>
          <w:tcPr>
            <w:tcW w:type="dxa" w:w="1584"/>
          </w:tcPr>
          <w:p>
            <w:pPr>
              <w:spacing w:before="60" w:after="60"/>
            </w:pPr>
            <w:r>
              <w:rPr>
                <w:rFonts w:ascii="Arial" w:hAnsi="Arial"/>
                <w:sz w:val="18"/>
              </w:rPr>
              <w:t>0.243%</w:t>
            </w:r>
          </w:p>
        </w:tc>
      </w:tr>
      <w:tr>
        <w:tc>
          <w:tcPr>
            <w:tcW w:type="dxa" w:w="864"/>
          </w:tcPr>
          <w:p>
            <w:pPr>
              <w:spacing w:before="60" w:after="60"/>
            </w:pPr>
            <w:r>
              <w:rPr>
                <w:rFonts w:ascii="Arial" w:hAnsi="Arial"/>
                <w:sz w:val="18"/>
              </w:rPr>
              <w:t>8</w:t>
            </w:r>
          </w:p>
        </w:tc>
        <w:tc>
          <w:tcPr>
            <w:tcW w:type="dxa" w:w="1584"/>
          </w:tcPr>
          <w:p>
            <w:pPr>
              <w:spacing w:before="60" w:after="60"/>
            </w:pPr>
            <w:r>
              <w:rPr>
                <w:rFonts w:ascii="Arial" w:hAnsi="Arial"/>
                <w:sz w:val="18"/>
              </w:rPr>
              <w:t>that</w:t>
            </w:r>
          </w:p>
        </w:tc>
        <w:tc>
          <w:tcPr>
            <w:tcW w:type="dxa" w:w="1296"/>
          </w:tcPr>
          <w:p>
            <w:pPr>
              <w:spacing w:before="60" w:after="60"/>
            </w:pPr>
            <w:r>
              <w:rPr>
                <w:rFonts w:ascii="Arial" w:hAnsi="Arial"/>
                <w:sz w:val="18"/>
              </w:rPr>
              <w:t>1,752</w:t>
            </w:r>
          </w:p>
        </w:tc>
        <w:tc>
          <w:tcPr>
            <w:tcW w:type="dxa" w:w="1584"/>
          </w:tcPr>
          <w:p>
            <w:pPr>
              <w:spacing w:before="60" w:after="60"/>
            </w:pPr>
            <w:r>
              <w:rPr>
                <w:rFonts w:ascii="Arial" w:hAnsi="Arial"/>
                <w:sz w:val="18"/>
              </w:rPr>
              <w:t>1.655%</w:t>
            </w:r>
          </w:p>
        </w:tc>
        <w:tc>
          <w:tcPr>
            <w:tcW w:type="dxa" w:w="1872"/>
          </w:tcPr>
          <w:p>
            <w:pPr>
              <w:spacing w:before="60" w:after="60"/>
            </w:pPr>
            <w:r>
              <w:rPr>
                <w:rFonts w:ascii="Arial" w:hAnsi="Arial"/>
                <w:sz w:val="18"/>
              </w:rPr>
              <w:t>at the</w:t>
            </w:r>
          </w:p>
        </w:tc>
        <w:tc>
          <w:tcPr>
            <w:tcW w:type="dxa" w:w="1296"/>
          </w:tcPr>
          <w:p>
            <w:pPr>
              <w:spacing w:before="60" w:after="60"/>
            </w:pPr>
            <w:r>
              <w:rPr>
                <w:rFonts w:ascii="Arial" w:hAnsi="Arial"/>
                <w:sz w:val="18"/>
              </w:rPr>
              <w:t>237</w:t>
            </w:r>
          </w:p>
        </w:tc>
        <w:tc>
          <w:tcPr>
            <w:tcW w:type="dxa" w:w="1584"/>
          </w:tcPr>
          <w:p>
            <w:pPr>
              <w:spacing w:before="60" w:after="60"/>
            </w:pPr>
            <w:r>
              <w:rPr>
                <w:rFonts w:ascii="Arial" w:hAnsi="Arial"/>
                <w:sz w:val="18"/>
              </w:rPr>
              <w:t>0.224%</w:t>
            </w:r>
          </w:p>
        </w:tc>
      </w:tr>
      <w:tr>
        <w:tc>
          <w:tcPr>
            <w:tcW w:type="dxa" w:w="864"/>
          </w:tcPr>
          <w:p>
            <w:pPr>
              <w:spacing w:before="60" w:after="60"/>
            </w:pPr>
            <w:r>
              <w:rPr>
                <w:rFonts w:ascii="Arial" w:hAnsi="Arial"/>
                <w:sz w:val="18"/>
              </w:rPr>
              <w:t>9</w:t>
            </w:r>
          </w:p>
        </w:tc>
        <w:tc>
          <w:tcPr>
            <w:tcW w:type="dxa" w:w="1584"/>
          </w:tcPr>
          <w:p>
            <w:pPr>
              <w:spacing w:before="60" w:after="60"/>
            </w:pPr>
            <w:r>
              <w:rPr>
                <w:rFonts w:ascii="Arial" w:hAnsi="Arial"/>
                <w:sz w:val="18"/>
              </w:rPr>
              <w:t>it</w:t>
            </w:r>
          </w:p>
        </w:tc>
        <w:tc>
          <w:tcPr>
            <w:tcW w:type="dxa" w:w="1296"/>
          </w:tcPr>
          <w:p>
            <w:pPr>
              <w:spacing w:before="60" w:after="60"/>
            </w:pPr>
            <w:r>
              <w:rPr>
                <w:rFonts w:ascii="Arial" w:hAnsi="Arial"/>
                <w:sz w:val="18"/>
              </w:rPr>
              <w:t>1,734</w:t>
            </w:r>
          </w:p>
        </w:tc>
        <w:tc>
          <w:tcPr>
            <w:tcW w:type="dxa" w:w="1584"/>
          </w:tcPr>
          <w:p>
            <w:pPr>
              <w:spacing w:before="60" w:after="60"/>
            </w:pPr>
            <w:r>
              <w:rPr>
                <w:rFonts w:ascii="Arial" w:hAnsi="Arial"/>
                <w:sz w:val="18"/>
              </w:rPr>
              <w:t>1.638%</w:t>
            </w:r>
          </w:p>
        </w:tc>
        <w:tc>
          <w:tcPr>
            <w:tcW w:type="dxa" w:w="1872"/>
          </w:tcPr>
          <w:p>
            <w:pPr>
              <w:spacing w:before="60" w:after="60"/>
            </w:pPr>
            <w:r>
              <w:rPr>
                <w:rFonts w:ascii="Arial" w:hAnsi="Arial"/>
                <w:sz w:val="18"/>
              </w:rPr>
              <w:t>and i</w:t>
            </w:r>
          </w:p>
        </w:tc>
        <w:tc>
          <w:tcPr>
            <w:tcW w:type="dxa" w:w="1296"/>
          </w:tcPr>
          <w:p>
            <w:pPr>
              <w:spacing w:before="60" w:after="60"/>
            </w:pPr>
            <w:r>
              <w:rPr>
                <w:rFonts w:ascii="Arial" w:hAnsi="Arial"/>
                <w:sz w:val="18"/>
              </w:rPr>
              <w:t>218</w:t>
            </w:r>
          </w:p>
        </w:tc>
        <w:tc>
          <w:tcPr>
            <w:tcW w:type="dxa" w:w="1584"/>
          </w:tcPr>
          <w:p>
            <w:pPr>
              <w:spacing w:before="60" w:after="60"/>
            </w:pPr>
            <w:r>
              <w:rPr>
                <w:rFonts w:ascii="Arial" w:hAnsi="Arial"/>
                <w:sz w:val="18"/>
              </w:rPr>
              <w:t>0.206%</w:t>
            </w:r>
          </w:p>
        </w:tc>
      </w:tr>
      <w:tr>
        <w:tc>
          <w:tcPr>
            <w:tcW w:type="dxa" w:w="864"/>
          </w:tcPr>
          <w:p>
            <w:pPr>
              <w:spacing w:before="60" w:after="60"/>
            </w:pPr>
            <w:r>
              <w:rPr>
                <w:rFonts w:ascii="Arial" w:hAnsi="Arial"/>
                <w:sz w:val="18"/>
              </w:rPr>
              <w:t>10</w:t>
            </w:r>
          </w:p>
        </w:tc>
        <w:tc>
          <w:tcPr>
            <w:tcW w:type="dxa" w:w="1584"/>
          </w:tcPr>
          <w:p>
            <w:pPr>
              <w:spacing w:before="60" w:after="60"/>
            </w:pPr>
            <w:r>
              <w:rPr>
                <w:rFonts w:ascii="Arial" w:hAnsi="Arial"/>
                <w:sz w:val="18"/>
              </w:rPr>
              <w:t>you</w:t>
            </w:r>
          </w:p>
        </w:tc>
        <w:tc>
          <w:tcPr>
            <w:tcW w:type="dxa" w:w="1296"/>
          </w:tcPr>
          <w:p>
            <w:pPr>
              <w:spacing w:before="60" w:after="60"/>
            </w:pPr>
            <w:r>
              <w:rPr>
                <w:rFonts w:ascii="Arial" w:hAnsi="Arial"/>
                <w:sz w:val="18"/>
              </w:rPr>
              <w:t>1,502</w:t>
            </w:r>
          </w:p>
        </w:tc>
        <w:tc>
          <w:tcPr>
            <w:tcW w:type="dxa" w:w="1584"/>
          </w:tcPr>
          <w:p>
            <w:pPr>
              <w:spacing w:before="60" w:after="60"/>
            </w:pPr>
            <w:r>
              <w:rPr>
                <w:rFonts w:ascii="Arial" w:hAnsi="Arial"/>
                <w:sz w:val="18"/>
              </w:rPr>
              <w:t>1.419%</w:t>
            </w:r>
          </w:p>
        </w:tc>
        <w:tc>
          <w:tcPr>
            <w:tcW w:type="dxa" w:w="1872"/>
          </w:tcPr>
          <w:p>
            <w:pPr>
              <w:spacing w:before="60" w:after="60"/>
            </w:pPr>
            <w:r>
              <w:rPr>
                <w:rFonts w:ascii="Arial" w:hAnsi="Arial"/>
                <w:sz w:val="18"/>
              </w:rPr>
              <w:t>and the</w:t>
            </w:r>
          </w:p>
        </w:tc>
        <w:tc>
          <w:tcPr>
            <w:tcW w:type="dxa" w:w="1296"/>
          </w:tcPr>
          <w:p>
            <w:pPr>
              <w:spacing w:before="60" w:after="60"/>
            </w:pPr>
            <w:r>
              <w:rPr>
                <w:rFonts w:ascii="Arial" w:hAnsi="Arial"/>
                <w:sz w:val="18"/>
              </w:rPr>
              <w:t>199</w:t>
            </w:r>
          </w:p>
        </w:tc>
        <w:tc>
          <w:tcPr>
            <w:tcW w:type="dxa" w:w="1584"/>
          </w:tcPr>
          <w:p>
            <w:pPr>
              <w:spacing w:before="60" w:after="60"/>
            </w:pPr>
            <w:r>
              <w:rPr>
                <w:rFonts w:ascii="Arial" w:hAnsi="Arial"/>
                <w:sz w:val="18"/>
              </w:rPr>
              <w:t>0.188%</w:t>
            </w:r>
          </w:p>
        </w:tc>
      </w:tr>
    </w:tbl>
    <w:p>
      <w:pPr>
        <w:pStyle w:val="Heading2"/>
      </w:pPr>
      <w:r>
        <w:rPr>
          <w:rFonts w:ascii="Arial" w:hAnsi="Arial"/>
          <w:b/>
          <w:color w:val="2C3E50"/>
          <w:sz w:val="25"/>
        </w:rPr>
        <w:t>3.6 Temporal Partitioning &amp; Boundary Autocorrelation Safeguards</w:t>
      </w:r>
    </w:p>
    <w:p>
      <w:r>
        <w:t>In sliding-window causal sequence modeling, a window of length L = 20 advanced by stride s = 2 shares L - s = 18 tokens between consecutive sequences. To rigorously prevent future data leakage, our pipeline adopts a strict chronological split (Train: first 80%, Validation: next 10%, Test: final 10%). While consecutive training windows possess natural autocorrelation, they preserve unidirectional arrow of time. Furthermore, because the evaluation splits occupy chronologically later chapters, test set perplexity genuinely measures the models' generalization ability on unseen narrative contexts.</w:t>
      </w:r>
    </w:p>
    <w:p/>
    <w:p>
      <w:pPr>
        <w:pStyle w:val="Heading1"/>
      </w:pPr>
      <w:r>
        <w:rPr>
          <w:rFonts w:ascii="Arial" w:hAnsi="Arial"/>
          <w:b/>
          <w:color w:val="1B365D"/>
          <w:sz w:val="30"/>
        </w:rPr>
        <w:t>4. Quantitative Performance &amp; Comparative Model Evaluation</w:t>
      </w:r>
    </w:p>
    <w:p>
      <w:r>
        <w:t>All four models were trained for 10 epochs using identical hyperparameters: embedding dimension = 128, hidden dimension = 256, number of layers = 2, dropout = 0.2, batch size = 64, Adam optimizer with initial learning rate = 0.001, ReduceLROnPlateau scheduler, and gradient clipping at max norm = 1.0. The held-out test split (6,082 samples, 10% of dataset) was evaluated across Cross-Entropy Loss, Test Perplexity (PPL), Top-1 Accuracy, Top-5 Accuracy, and Inference Latency per batch.</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872"/>
            <w:shd w:fill="1B365D"/>
          </w:tcPr>
          <w:p>
            <w:pPr>
              <w:spacing w:before="60" w:after="60"/>
            </w:pPr>
            <w:r>
              <w:rPr>
                <w:rFonts w:ascii="Arial" w:hAnsi="Arial"/>
                <w:b/>
                <w:color w:val="FFFFFF"/>
                <w:sz w:val="18"/>
              </w:rPr>
              <w:t>Model</w:t>
            </w:r>
          </w:p>
        </w:tc>
        <w:tc>
          <w:tcPr>
            <w:tcW w:type="dxa" w:w="1296"/>
            <w:shd w:fill="1B365D"/>
          </w:tcPr>
          <w:p>
            <w:pPr>
              <w:spacing w:before="60" w:after="60"/>
            </w:pPr>
            <w:r>
              <w:rPr>
                <w:rFonts w:ascii="Arial" w:hAnsi="Arial"/>
                <w:b/>
                <w:color w:val="FFFFFF"/>
                <w:sz w:val="18"/>
              </w:rPr>
              <w:t>Parameters</w:t>
            </w:r>
          </w:p>
        </w:tc>
        <w:tc>
          <w:tcPr>
            <w:tcW w:type="dxa" w:w="1008"/>
            <w:shd w:fill="1B365D"/>
          </w:tcPr>
          <w:p>
            <w:pPr>
              <w:spacing w:before="60" w:after="60"/>
            </w:pPr>
            <w:r>
              <w:rPr>
                <w:rFonts w:ascii="Arial" w:hAnsi="Arial"/>
                <w:b/>
                <w:color w:val="FFFFFF"/>
                <w:sz w:val="18"/>
              </w:rPr>
              <w:t>Train Loss</w:t>
            </w:r>
          </w:p>
        </w:tc>
        <w:tc>
          <w:tcPr>
            <w:tcW w:type="dxa" w:w="1008"/>
            <w:shd w:fill="1B365D"/>
          </w:tcPr>
          <w:p>
            <w:pPr>
              <w:spacing w:before="60" w:after="60"/>
            </w:pPr>
            <w:r>
              <w:rPr>
                <w:rFonts w:ascii="Arial" w:hAnsi="Arial"/>
                <w:b/>
                <w:color w:val="FFFFFF"/>
                <w:sz w:val="18"/>
              </w:rPr>
              <w:t>Val Loss</w:t>
            </w:r>
          </w:p>
        </w:tc>
        <w:tc>
          <w:tcPr>
            <w:tcW w:type="dxa" w:w="1008"/>
            <w:shd w:fill="1B365D"/>
          </w:tcPr>
          <w:p>
            <w:pPr>
              <w:spacing w:before="60" w:after="60"/>
            </w:pPr>
            <w:r>
              <w:rPr>
                <w:rFonts w:ascii="Arial" w:hAnsi="Arial"/>
                <w:b/>
                <w:color w:val="FFFFFF"/>
                <w:sz w:val="18"/>
              </w:rPr>
              <w:t>Test Loss</w:t>
            </w:r>
          </w:p>
        </w:tc>
        <w:tc>
          <w:tcPr>
            <w:tcW w:type="dxa" w:w="1152"/>
            <w:shd w:fill="1B365D"/>
          </w:tcPr>
          <w:p>
            <w:pPr>
              <w:spacing w:before="60" w:after="60"/>
            </w:pPr>
            <w:r>
              <w:rPr>
                <w:rFonts w:ascii="Arial" w:hAnsi="Arial"/>
                <w:b/>
                <w:color w:val="FFFFFF"/>
                <w:sz w:val="18"/>
              </w:rPr>
              <w:t>Perplexity</w:t>
            </w:r>
          </w:p>
        </w:tc>
        <w:tc>
          <w:tcPr>
            <w:tcW w:type="dxa" w:w="1152"/>
            <w:shd w:fill="1B365D"/>
          </w:tcPr>
          <w:p>
            <w:pPr>
              <w:spacing w:before="60" w:after="60"/>
            </w:pPr>
            <w:r>
              <w:rPr>
                <w:rFonts w:ascii="Arial" w:hAnsi="Arial"/>
                <w:b/>
                <w:color w:val="FFFFFF"/>
                <w:sz w:val="18"/>
              </w:rPr>
              <w:t>Top-1 Acc (%)</w:t>
            </w:r>
          </w:p>
        </w:tc>
        <w:tc>
          <w:tcPr>
            <w:tcW w:type="dxa" w:w="1152"/>
            <w:shd w:fill="1B365D"/>
          </w:tcPr>
          <w:p>
            <w:pPr>
              <w:spacing w:before="60" w:after="60"/>
            </w:pPr>
            <w:r>
              <w:rPr>
                <w:rFonts w:ascii="Arial" w:hAnsi="Arial"/>
                <w:b/>
                <w:color w:val="FFFFFF"/>
                <w:sz w:val="18"/>
              </w:rPr>
              <w:t>Top-5 Acc (%)</w:t>
            </w:r>
          </w:p>
        </w:tc>
        <w:tc>
          <w:tcPr>
            <w:tcW w:type="dxa" w:w="1152"/>
            <w:shd w:fill="1B365D"/>
          </w:tcPr>
          <w:p>
            <w:pPr>
              <w:spacing w:before="60" w:after="60"/>
            </w:pPr>
            <w:r>
              <w:rPr>
                <w:rFonts w:ascii="Arial" w:hAnsi="Arial"/>
                <w:b/>
                <w:color w:val="FFFFFF"/>
                <w:sz w:val="18"/>
              </w:rPr>
              <w:t>Latency (ms)</w:t>
            </w:r>
          </w:p>
        </w:tc>
      </w:tr>
      <w:tr>
        <w:tc>
          <w:tcPr>
            <w:tcW w:type="dxa" w:w="1872"/>
          </w:tcPr>
          <w:p>
            <w:pPr>
              <w:spacing w:before="60" w:after="60"/>
            </w:pPr>
            <w:r>
              <w:rPr>
                <w:rFonts w:ascii="Arial" w:hAnsi="Arial"/>
                <w:sz w:val="18"/>
              </w:rPr>
              <w:t>Simple RNN</w:t>
            </w:r>
          </w:p>
        </w:tc>
        <w:tc>
          <w:tcPr>
            <w:tcW w:type="dxa" w:w="1296"/>
          </w:tcPr>
          <w:p>
            <w:pPr>
              <w:spacing w:before="60" w:after="60"/>
            </w:pPr>
            <w:r>
              <w:rPr>
                <w:rFonts w:ascii="Arial" w:hAnsi="Arial"/>
                <w:sz w:val="18"/>
              </w:rPr>
              <w:t>1,915,930</w:t>
            </w:r>
          </w:p>
        </w:tc>
        <w:tc>
          <w:tcPr>
            <w:tcW w:type="dxa" w:w="1008"/>
          </w:tcPr>
          <w:p>
            <w:pPr>
              <w:spacing w:before="60" w:after="60"/>
            </w:pPr>
            <w:r>
              <w:rPr>
                <w:rFonts w:ascii="Arial" w:hAnsi="Arial"/>
                <w:sz w:val="18"/>
              </w:rPr>
              <w:t>4.2867</w:t>
            </w:r>
          </w:p>
        </w:tc>
        <w:tc>
          <w:tcPr>
            <w:tcW w:type="dxa" w:w="1008"/>
          </w:tcPr>
          <w:p>
            <w:pPr>
              <w:spacing w:before="60" w:after="60"/>
            </w:pPr>
            <w:r>
              <w:rPr>
                <w:rFonts w:ascii="Arial" w:hAnsi="Arial"/>
                <w:sz w:val="18"/>
              </w:rPr>
              <w:t>5.1042</w:t>
            </w:r>
          </w:p>
        </w:tc>
        <w:tc>
          <w:tcPr>
            <w:tcW w:type="dxa" w:w="1008"/>
          </w:tcPr>
          <w:p>
            <w:pPr>
              <w:spacing w:before="60" w:after="60"/>
            </w:pPr>
            <w:r>
              <w:rPr>
                <w:rFonts w:ascii="Arial" w:hAnsi="Arial"/>
                <w:sz w:val="18"/>
              </w:rPr>
              <w:t>5.0707</w:t>
            </w:r>
          </w:p>
        </w:tc>
        <w:tc>
          <w:tcPr>
            <w:tcW w:type="dxa" w:w="1152"/>
          </w:tcPr>
          <w:p>
            <w:pPr>
              <w:spacing w:before="60" w:after="60"/>
            </w:pPr>
            <w:r>
              <w:rPr>
                <w:rFonts w:ascii="Arial" w:hAnsi="Arial"/>
                <w:sz w:val="18"/>
              </w:rPr>
              <w:t>159.28</w:t>
            </w:r>
          </w:p>
        </w:tc>
        <w:tc>
          <w:tcPr>
            <w:tcW w:type="dxa" w:w="1152"/>
          </w:tcPr>
          <w:p>
            <w:pPr>
              <w:spacing w:before="60" w:after="60"/>
            </w:pPr>
            <w:r>
              <w:rPr>
                <w:rFonts w:ascii="Arial" w:hAnsi="Arial"/>
                <w:sz w:val="18"/>
              </w:rPr>
              <w:t>16.35%</w:t>
            </w:r>
          </w:p>
        </w:tc>
        <w:tc>
          <w:tcPr>
            <w:tcW w:type="dxa" w:w="1152"/>
          </w:tcPr>
          <w:p>
            <w:pPr>
              <w:spacing w:before="60" w:after="60"/>
            </w:pPr>
            <w:r>
              <w:rPr>
                <w:rFonts w:ascii="Arial" w:hAnsi="Arial"/>
                <w:sz w:val="18"/>
              </w:rPr>
              <w:t>37.26%</w:t>
            </w:r>
          </w:p>
        </w:tc>
        <w:tc>
          <w:tcPr>
            <w:tcW w:type="dxa" w:w="1152"/>
          </w:tcPr>
          <w:p>
            <w:pPr>
              <w:spacing w:before="60" w:after="60"/>
            </w:pPr>
            <w:r>
              <w:rPr>
                <w:rFonts w:ascii="Arial" w:hAnsi="Arial"/>
                <w:sz w:val="18"/>
              </w:rPr>
              <w:t>2.04</w:t>
            </w:r>
          </w:p>
        </w:tc>
      </w:tr>
      <w:tr>
        <w:tc>
          <w:tcPr>
            <w:tcW w:type="dxa" w:w="1872"/>
          </w:tcPr>
          <w:p>
            <w:pPr>
              <w:spacing w:before="60" w:after="60"/>
            </w:pPr>
            <w:r>
              <w:rPr>
                <w:rFonts w:ascii="Arial" w:hAnsi="Arial"/>
                <w:sz w:val="18"/>
              </w:rPr>
              <w:t>Bidirectional RNN</w:t>
            </w:r>
          </w:p>
        </w:tc>
        <w:tc>
          <w:tcPr>
            <w:tcW w:type="dxa" w:w="1296"/>
          </w:tcPr>
          <w:p>
            <w:pPr>
              <w:spacing w:before="60" w:after="60"/>
            </w:pPr>
            <w:r>
              <w:rPr>
                <w:rFonts w:ascii="Arial" w:hAnsi="Arial"/>
                <w:sz w:val="18"/>
              </w:rPr>
              <w:t>1,850,394</w:t>
            </w:r>
          </w:p>
        </w:tc>
        <w:tc>
          <w:tcPr>
            <w:tcW w:type="dxa" w:w="1008"/>
          </w:tcPr>
          <w:p>
            <w:pPr>
              <w:spacing w:before="60" w:after="60"/>
            </w:pPr>
            <w:r>
              <w:rPr>
                <w:rFonts w:ascii="Arial" w:hAnsi="Arial"/>
                <w:sz w:val="18"/>
              </w:rPr>
              <w:t>4.3021</w:t>
            </w:r>
          </w:p>
        </w:tc>
        <w:tc>
          <w:tcPr>
            <w:tcW w:type="dxa" w:w="1008"/>
          </w:tcPr>
          <w:p>
            <w:pPr>
              <w:spacing w:before="60" w:after="60"/>
            </w:pPr>
            <w:r>
              <w:rPr>
                <w:rFonts w:ascii="Arial" w:hAnsi="Arial"/>
                <w:sz w:val="18"/>
              </w:rPr>
              <w:t>5.0600</w:t>
            </w:r>
          </w:p>
        </w:tc>
        <w:tc>
          <w:tcPr>
            <w:tcW w:type="dxa" w:w="1008"/>
          </w:tcPr>
          <w:p>
            <w:pPr>
              <w:spacing w:before="60" w:after="60"/>
            </w:pPr>
            <w:r>
              <w:rPr>
                <w:rFonts w:ascii="Arial" w:hAnsi="Arial"/>
                <w:sz w:val="18"/>
              </w:rPr>
              <w:t>4.9981</w:t>
            </w:r>
          </w:p>
        </w:tc>
        <w:tc>
          <w:tcPr>
            <w:tcW w:type="dxa" w:w="1152"/>
          </w:tcPr>
          <w:p>
            <w:pPr>
              <w:spacing w:before="60" w:after="60"/>
            </w:pPr>
            <w:r>
              <w:rPr>
                <w:rFonts w:ascii="Arial" w:hAnsi="Arial"/>
                <w:sz w:val="18"/>
              </w:rPr>
              <w:t>148.13</w:t>
            </w:r>
          </w:p>
        </w:tc>
        <w:tc>
          <w:tcPr>
            <w:tcW w:type="dxa" w:w="1152"/>
          </w:tcPr>
          <w:p>
            <w:pPr>
              <w:spacing w:before="60" w:after="60"/>
            </w:pPr>
            <w:r>
              <w:rPr>
                <w:rFonts w:ascii="Arial" w:hAnsi="Arial"/>
                <w:sz w:val="18"/>
              </w:rPr>
              <w:t>17.21%</w:t>
            </w:r>
          </w:p>
        </w:tc>
        <w:tc>
          <w:tcPr>
            <w:tcW w:type="dxa" w:w="1152"/>
          </w:tcPr>
          <w:p>
            <w:pPr>
              <w:spacing w:before="60" w:after="60"/>
            </w:pPr>
            <w:r>
              <w:rPr>
                <w:rFonts w:ascii="Arial" w:hAnsi="Arial"/>
                <w:sz w:val="18"/>
              </w:rPr>
              <w:t>38.25%</w:t>
            </w:r>
          </w:p>
        </w:tc>
        <w:tc>
          <w:tcPr>
            <w:tcW w:type="dxa" w:w="1152"/>
          </w:tcPr>
          <w:p>
            <w:pPr>
              <w:spacing w:before="60" w:after="60"/>
            </w:pPr>
            <w:r>
              <w:rPr>
                <w:rFonts w:ascii="Arial" w:hAnsi="Arial"/>
                <w:sz w:val="18"/>
              </w:rPr>
              <w:t>2.64</w:t>
            </w:r>
          </w:p>
        </w:tc>
      </w:tr>
      <w:tr>
        <w:tc>
          <w:tcPr>
            <w:tcW w:type="dxa" w:w="1872"/>
          </w:tcPr>
          <w:p>
            <w:pPr>
              <w:spacing w:before="60" w:after="60"/>
            </w:pPr>
            <w:r>
              <w:rPr>
                <w:rFonts w:ascii="Arial" w:hAnsi="Arial"/>
                <w:sz w:val="18"/>
              </w:rPr>
              <w:t>LSTM</w:t>
            </w:r>
          </w:p>
        </w:tc>
        <w:tc>
          <w:tcPr>
            <w:tcW w:type="dxa" w:w="1296"/>
          </w:tcPr>
          <w:p>
            <w:pPr>
              <w:spacing w:before="60" w:after="60"/>
            </w:pPr>
            <w:r>
              <w:rPr>
                <w:rFonts w:ascii="Arial" w:hAnsi="Arial"/>
                <w:sz w:val="18"/>
              </w:rPr>
              <w:t>2,607,130</w:t>
            </w:r>
          </w:p>
        </w:tc>
        <w:tc>
          <w:tcPr>
            <w:tcW w:type="dxa" w:w="1008"/>
          </w:tcPr>
          <w:p>
            <w:pPr>
              <w:spacing w:before="60" w:after="60"/>
            </w:pPr>
            <w:r>
              <w:rPr>
                <w:rFonts w:ascii="Arial" w:hAnsi="Arial"/>
                <w:sz w:val="18"/>
              </w:rPr>
              <w:t>4.5230</w:t>
            </w:r>
          </w:p>
        </w:tc>
        <w:tc>
          <w:tcPr>
            <w:tcW w:type="dxa" w:w="1008"/>
          </w:tcPr>
          <w:p>
            <w:pPr>
              <w:spacing w:before="60" w:after="60"/>
            </w:pPr>
            <w:r>
              <w:rPr>
                <w:rFonts w:ascii="Arial" w:hAnsi="Arial"/>
                <w:sz w:val="18"/>
              </w:rPr>
              <w:t>4.9072</w:t>
            </w:r>
          </w:p>
        </w:tc>
        <w:tc>
          <w:tcPr>
            <w:tcW w:type="dxa" w:w="1008"/>
          </w:tcPr>
          <w:p>
            <w:pPr>
              <w:spacing w:before="60" w:after="60"/>
            </w:pPr>
            <w:r>
              <w:rPr>
                <w:rFonts w:ascii="Arial" w:hAnsi="Arial"/>
                <w:sz w:val="18"/>
              </w:rPr>
              <w:t>4.8809</w:t>
            </w:r>
          </w:p>
        </w:tc>
        <w:tc>
          <w:tcPr>
            <w:tcW w:type="dxa" w:w="1152"/>
          </w:tcPr>
          <w:p>
            <w:pPr>
              <w:spacing w:before="60" w:after="60"/>
            </w:pPr>
            <w:r>
              <w:rPr>
                <w:rFonts w:ascii="Arial" w:hAnsi="Arial"/>
                <w:sz w:val="18"/>
              </w:rPr>
              <w:t>131.74</w:t>
            </w:r>
          </w:p>
        </w:tc>
        <w:tc>
          <w:tcPr>
            <w:tcW w:type="dxa" w:w="1152"/>
          </w:tcPr>
          <w:p>
            <w:pPr>
              <w:spacing w:before="60" w:after="60"/>
            </w:pPr>
            <w:r>
              <w:rPr>
                <w:rFonts w:ascii="Arial" w:hAnsi="Arial"/>
                <w:sz w:val="18"/>
              </w:rPr>
              <w:t>17.22%</w:t>
            </w:r>
          </w:p>
        </w:tc>
        <w:tc>
          <w:tcPr>
            <w:tcW w:type="dxa" w:w="1152"/>
          </w:tcPr>
          <w:p>
            <w:pPr>
              <w:spacing w:before="60" w:after="60"/>
            </w:pPr>
            <w:r>
              <w:rPr>
                <w:rFonts w:ascii="Arial" w:hAnsi="Arial"/>
                <w:sz w:val="18"/>
              </w:rPr>
              <w:t>38.59%</w:t>
            </w:r>
          </w:p>
        </w:tc>
        <w:tc>
          <w:tcPr>
            <w:tcW w:type="dxa" w:w="1152"/>
          </w:tcPr>
          <w:p>
            <w:pPr>
              <w:spacing w:before="60" w:after="60"/>
            </w:pPr>
            <w:r>
              <w:rPr>
                <w:rFonts w:ascii="Arial" w:hAnsi="Arial"/>
                <w:sz w:val="18"/>
              </w:rPr>
              <w:t>1.65</w:t>
            </w:r>
          </w:p>
        </w:tc>
      </w:tr>
      <w:tr>
        <w:tc>
          <w:tcPr>
            <w:tcW w:type="dxa" w:w="1872"/>
          </w:tcPr>
          <w:p>
            <w:pPr>
              <w:spacing w:before="60" w:after="60"/>
            </w:pPr>
            <w:r>
              <w:rPr>
                <w:rFonts w:ascii="Arial" w:hAnsi="Arial"/>
                <w:sz w:val="18"/>
              </w:rPr>
              <w:t>GRU</w:t>
            </w:r>
          </w:p>
        </w:tc>
        <w:tc>
          <w:tcPr>
            <w:tcW w:type="dxa" w:w="1296"/>
          </w:tcPr>
          <w:p>
            <w:pPr>
              <w:spacing w:before="60" w:after="60"/>
            </w:pPr>
            <w:r>
              <w:rPr>
                <w:rFonts w:ascii="Arial" w:hAnsi="Arial"/>
                <w:sz w:val="18"/>
              </w:rPr>
              <w:t>2,376,730</w:t>
            </w:r>
          </w:p>
        </w:tc>
        <w:tc>
          <w:tcPr>
            <w:tcW w:type="dxa" w:w="1008"/>
          </w:tcPr>
          <w:p>
            <w:pPr>
              <w:spacing w:before="60" w:after="60"/>
            </w:pPr>
            <w:r>
              <w:rPr>
                <w:rFonts w:ascii="Arial" w:hAnsi="Arial"/>
                <w:sz w:val="18"/>
              </w:rPr>
              <w:t>3.9477</w:t>
            </w:r>
          </w:p>
        </w:tc>
        <w:tc>
          <w:tcPr>
            <w:tcW w:type="dxa" w:w="1008"/>
          </w:tcPr>
          <w:p>
            <w:pPr>
              <w:spacing w:before="60" w:after="60"/>
            </w:pPr>
            <w:r>
              <w:rPr>
                <w:rFonts w:ascii="Arial" w:hAnsi="Arial"/>
                <w:sz w:val="18"/>
              </w:rPr>
              <w:t>4.9341</w:t>
            </w:r>
          </w:p>
        </w:tc>
        <w:tc>
          <w:tcPr>
            <w:tcW w:type="dxa" w:w="1008"/>
          </w:tcPr>
          <w:p>
            <w:pPr>
              <w:spacing w:before="60" w:after="60"/>
            </w:pPr>
            <w:r>
              <w:rPr>
                <w:rFonts w:ascii="Arial" w:hAnsi="Arial"/>
                <w:sz w:val="18"/>
              </w:rPr>
              <w:t>4.8602</w:t>
            </w:r>
          </w:p>
        </w:tc>
        <w:tc>
          <w:tcPr>
            <w:tcW w:type="dxa" w:w="1152"/>
          </w:tcPr>
          <w:p>
            <w:pPr>
              <w:spacing w:before="60" w:after="60"/>
            </w:pPr>
            <w:r>
              <w:rPr>
                <w:rFonts w:ascii="Arial" w:hAnsi="Arial"/>
                <w:sz w:val="18"/>
              </w:rPr>
              <w:t>129.05</w:t>
            </w:r>
          </w:p>
        </w:tc>
        <w:tc>
          <w:tcPr>
            <w:tcW w:type="dxa" w:w="1152"/>
          </w:tcPr>
          <w:p>
            <w:pPr>
              <w:spacing w:before="60" w:after="60"/>
            </w:pPr>
            <w:r>
              <w:rPr>
                <w:rFonts w:ascii="Arial" w:hAnsi="Arial"/>
                <w:sz w:val="18"/>
              </w:rPr>
              <w:t>17.86%</w:t>
            </w:r>
          </w:p>
        </w:tc>
        <w:tc>
          <w:tcPr>
            <w:tcW w:type="dxa" w:w="1152"/>
          </w:tcPr>
          <w:p>
            <w:pPr>
              <w:spacing w:before="60" w:after="60"/>
            </w:pPr>
            <w:r>
              <w:rPr>
                <w:rFonts w:ascii="Arial" w:hAnsi="Arial"/>
                <w:sz w:val="18"/>
              </w:rPr>
              <w:t>39.94%</w:t>
            </w:r>
          </w:p>
        </w:tc>
        <w:tc>
          <w:tcPr>
            <w:tcW w:type="dxa" w:w="1152"/>
          </w:tcPr>
          <w:p>
            <w:pPr>
              <w:spacing w:before="60" w:after="60"/>
            </w:pPr>
            <w:r>
              <w:rPr>
                <w:rFonts w:ascii="Arial" w:hAnsi="Arial"/>
                <w:sz w:val="18"/>
              </w:rPr>
              <w:t>5.92</w:t>
            </w:r>
          </w:p>
        </w:tc>
      </w:tr>
    </w:tbl>
    <w:p>
      <w:pPr>
        <w:spacing w:before="160" w:after="40"/>
        <w:jc w:val="center"/>
      </w:pPr>
      <w:r>
        <w:drawing>
          <wp:inline xmlns:a="http://schemas.openxmlformats.org/drawingml/2006/main" xmlns:pic="http://schemas.openxmlformats.org/drawingml/2006/picture">
            <wp:extent cx="5303520" cy="1894114"/>
            <wp:docPr id="6" name="Picture 6"/>
            <wp:cNvGraphicFramePr>
              <a:graphicFrameLocks noChangeAspect="1"/>
            </wp:cNvGraphicFramePr>
            <a:graphic>
              <a:graphicData uri="http://schemas.openxmlformats.org/drawingml/2006/picture">
                <pic:pic>
                  <pic:nvPicPr>
                    <pic:cNvPr id="0" name="loss_curves.png"/>
                    <pic:cNvPicPr/>
                  </pic:nvPicPr>
                  <pic:blipFill>
                    <a:blip r:embed="rId14"/>
                    <a:stretch>
                      <a:fillRect/>
                    </a:stretch>
                  </pic:blipFill>
                  <pic:spPr>
                    <a:xfrm>
                      <a:off x="0" y="0"/>
                      <a:ext cx="5303520" cy="1894114"/>
                    </a:xfrm>
                    <a:prstGeom prst="rect"/>
                  </pic:spPr>
                </pic:pic>
              </a:graphicData>
            </a:graphic>
          </wp:inline>
        </w:drawing>
      </w:r>
    </w:p>
    <w:p>
      <w:pPr>
        <w:spacing w:after="200"/>
        <w:jc w:val="center"/>
      </w:pPr>
      <w:r>
        <w:rPr>
          <w:rFonts w:ascii="Arial" w:hAnsi="Arial"/>
          <w:i/>
          <w:color w:val="555555"/>
          <w:sz w:val="17"/>
        </w:rPr>
        <w:t>Figure 6: Cross-entropy training and validation loss curves over 10 training epochs for Simple RNN, BiRNN, LSTM, and GRU.</w:t>
      </w:r>
    </w:p>
    <w:p>
      <w:pPr>
        <w:spacing w:before="16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perplexity_curves.png"/>
                    <pic:cNvPicPr/>
                  </pic:nvPicPr>
                  <pic:blipFill>
                    <a:blip r:embed="rId15"/>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7: Validation perplexity curves over training epochs, demonstrating GRU's superior convergence rate.</w:t>
      </w:r>
    </w:p>
    <w:p>
      <w:pPr>
        <w:spacing w:before="160" w:after="40"/>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accuracy_comparison.png"/>
                    <pic:cNvPicPr/>
                  </pic:nvPicPr>
                  <pic:blipFill>
                    <a:blip r:embed="rId16"/>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8: Next-word prediction accuracy comparison on held-out test data showing Top-1 and Top-5 accuracy percentages.</w:t>
      </w:r>
    </w:p>
    <w:p>
      <w:pPr>
        <w:spacing w:before="160" w:after="40"/>
        <w:jc w:val="center"/>
      </w:pPr>
      <w:r>
        <w:drawing>
          <wp:inline xmlns:a="http://schemas.openxmlformats.org/drawingml/2006/main" xmlns:pic="http://schemas.openxmlformats.org/drawingml/2006/picture">
            <wp:extent cx="5303520" cy="2946400"/>
            <wp:docPr id="9" name="Picture 9"/>
            <wp:cNvGraphicFramePr>
              <a:graphicFrameLocks noChangeAspect="1"/>
            </wp:cNvGraphicFramePr>
            <a:graphic>
              <a:graphicData uri="http://schemas.openxmlformats.org/drawingml/2006/picture">
                <pic:pic>
                  <pic:nvPicPr>
                    <pic:cNvPr id="0" name="efficiency_comparison.png"/>
                    <pic:cNvPicPr/>
                  </pic:nvPicPr>
                  <pic:blipFill>
                    <a:blip r:embed="rId17"/>
                    <a:stretch>
                      <a:fillRect/>
                    </a:stretch>
                  </pic:blipFill>
                  <pic:spPr>
                    <a:xfrm>
                      <a:off x="0" y="0"/>
                      <a:ext cx="5303520" cy="2946400"/>
                    </a:xfrm>
                    <a:prstGeom prst="rect"/>
                  </pic:spPr>
                </pic:pic>
              </a:graphicData>
            </a:graphic>
          </wp:inline>
        </w:drawing>
      </w:r>
    </w:p>
    <w:p>
      <w:pPr>
        <w:spacing w:after="200"/>
        <w:jc w:val="center"/>
      </w:pPr>
      <w:r>
        <w:rPr>
          <w:rFonts w:ascii="Arial" w:hAnsi="Arial"/>
          <w:i/>
          <w:color w:val="555555"/>
          <w:sz w:val="17"/>
        </w:rPr>
        <w:t>Figure 9: Computational efficiency trade-off: Trainable parameter count vs. batch inference latency (ms).</w:t>
      </w:r>
    </w:p>
    <w:p>
      <w:pPr>
        <w:pStyle w:val="Heading1"/>
      </w:pPr>
      <w:r>
        <w:rPr>
          <w:rFonts w:ascii="Arial" w:hAnsi="Arial"/>
          <w:b/>
          <w:color w:val="1B365D"/>
          <w:sz w:val="30"/>
        </w:rPr>
        <w:t>5. Qualitative Sampling &amp; Temperature Dynamics Analysis</w:t>
      </w:r>
    </w:p>
    <w:p>
      <w:r>
        <w:t>Autoregressive sequential generation was tested using three sampling temperature values: T = 0.2 (conservative / greedy), T = 0.7 (balanced stochasticity), and T = 1.2 (high entropy exploration). Diversity metrics were computed across 50 generated tokens: Distinct-1 (unigram diversity), Distinct-2 (bigram diversity), and 3-Gram Repetition Rate (percentage of repeated trigrams).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160"/>
            <w:shd w:fill="1B365D"/>
          </w:tcPr>
          <w:p>
            <w:pPr>
              <w:spacing w:before="60" w:after="60"/>
            </w:pPr>
            <w:r>
              <w:rPr>
                <w:rFonts w:ascii="Arial" w:hAnsi="Arial"/>
                <w:b/>
                <w:color w:val="FFFFFF"/>
                <w:sz w:val="18"/>
              </w:rPr>
              <w:t>Model</w:t>
            </w:r>
          </w:p>
        </w:tc>
        <w:tc>
          <w:tcPr>
            <w:tcW w:type="dxa" w:w="1728"/>
            <w:shd w:fill="1B365D"/>
          </w:tcPr>
          <w:p>
            <w:pPr>
              <w:spacing w:before="60" w:after="60"/>
            </w:pPr>
            <w:r>
              <w:rPr>
                <w:rFonts w:ascii="Arial" w:hAnsi="Arial"/>
                <w:b/>
                <w:color w:val="FFFFFF"/>
                <w:sz w:val="18"/>
              </w:rPr>
              <w:t>Temperature (T)</w:t>
            </w:r>
          </w:p>
        </w:tc>
        <w:tc>
          <w:tcPr>
            <w:tcW w:type="dxa" w:w="1584"/>
            <w:shd w:fill="1B365D"/>
          </w:tcPr>
          <w:p>
            <w:pPr>
              <w:spacing w:before="60" w:after="60"/>
            </w:pPr>
            <w:r>
              <w:rPr>
                <w:rFonts w:ascii="Arial" w:hAnsi="Arial"/>
                <w:b/>
                <w:color w:val="FFFFFF"/>
                <w:sz w:val="18"/>
              </w:rPr>
              <w:t>Distinct-1</w:t>
            </w:r>
          </w:p>
        </w:tc>
        <w:tc>
          <w:tcPr>
            <w:tcW w:type="dxa" w:w="1584"/>
            <w:shd w:fill="1B365D"/>
          </w:tcPr>
          <w:p>
            <w:pPr>
              <w:spacing w:before="60" w:after="60"/>
            </w:pPr>
            <w:r>
              <w:rPr>
                <w:rFonts w:ascii="Arial" w:hAnsi="Arial"/>
                <w:b/>
                <w:color w:val="FFFFFF"/>
                <w:sz w:val="18"/>
              </w:rPr>
              <w:t>Distinct-2</w:t>
            </w:r>
          </w:p>
        </w:tc>
        <w:tc>
          <w:tcPr>
            <w:tcW w:type="dxa" w:w="2592"/>
            <w:shd w:fill="1B365D"/>
          </w:tcPr>
          <w:p>
            <w:pPr>
              <w:spacing w:before="60" w:after="60"/>
            </w:pPr>
            <w:r>
              <w:rPr>
                <w:rFonts w:ascii="Arial" w:hAnsi="Arial"/>
                <w:b/>
                <w:color w:val="FFFFFF"/>
                <w:sz w:val="18"/>
              </w:rPr>
              <w:t>3-Gram Repetition Rate (%)</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0.5529</w:t>
            </w:r>
          </w:p>
        </w:tc>
        <w:tc>
          <w:tcPr>
            <w:tcW w:type="dxa" w:w="1584"/>
          </w:tcPr>
          <w:p>
            <w:pPr>
              <w:spacing w:before="60" w:after="60"/>
            </w:pPr>
            <w:r>
              <w:rPr>
                <w:rFonts w:ascii="Arial" w:hAnsi="Arial"/>
                <w:sz w:val="18"/>
              </w:rPr>
              <w:t>0.7838</w:t>
            </w:r>
          </w:p>
        </w:tc>
        <w:tc>
          <w:tcPr>
            <w:tcW w:type="dxa" w:w="2592"/>
          </w:tcPr>
          <w:p>
            <w:pPr>
              <w:spacing w:before="60" w:after="60"/>
            </w:pPr>
            <w:r>
              <w:rPr>
                <w:rFonts w:ascii="Arial" w:hAnsi="Arial"/>
                <w:sz w:val="18"/>
              </w:rPr>
              <w:t>25.51%</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0.8049</w:t>
            </w:r>
          </w:p>
        </w:tc>
        <w:tc>
          <w:tcPr>
            <w:tcW w:type="dxa" w:w="1584"/>
          </w:tcPr>
          <w:p>
            <w:pPr>
              <w:spacing w:before="60" w:after="60"/>
            </w:pPr>
            <w:r>
              <w:rPr>
                <w:rFonts w:ascii="Arial" w:hAnsi="Arial"/>
                <w:sz w:val="18"/>
              </w:rPr>
              <w:t>0.9917</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Simple RNN</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0.8766</w:t>
            </w:r>
          </w:p>
        </w:tc>
        <w:tc>
          <w:tcPr>
            <w:tcW w:type="dxa" w:w="1584"/>
          </w:tcPr>
          <w:p>
            <w:pPr>
              <w:spacing w:before="60" w:after="60"/>
            </w:pPr>
            <w:r>
              <w:rPr>
                <w:rFonts w:ascii="Arial" w:hAnsi="Arial"/>
                <w:sz w:val="18"/>
              </w:rPr>
              <w:t>1.0000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0.5728</w:t>
            </w:r>
          </w:p>
        </w:tc>
        <w:tc>
          <w:tcPr>
            <w:tcW w:type="dxa" w:w="1584"/>
          </w:tcPr>
          <w:p>
            <w:pPr>
              <w:spacing w:before="60" w:after="60"/>
            </w:pPr>
            <w:r>
              <w:rPr>
                <w:rFonts w:ascii="Arial" w:hAnsi="Arial"/>
                <w:sz w:val="18"/>
              </w:rPr>
              <w:t>0.7667</w:t>
            </w:r>
          </w:p>
        </w:tc>
        <w:tc>
          <w:tcPr>
            <w:tcW w:type="dxa" w:w="2592"/>
          </w:tcPr>
          <w:p>
            <w:pPr>
              <w:spacing w:before="60" w:after="60"/>
            </w:pPr>
            <w:r>
              <w:rPr>
                <w:rFonts w:ascii="Arial" w:hAnsi="Arial"/>
                <w:sz w:val="18"/>
              </w:rPr>
              <w:t>25.03%</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0.7782</w:t>
            </w:r>
          </w:p>
        </w:tc>
        <w:tc>
          <w:tcPr>
            <w:tcW w:type="dxa" w:w="1584"/>
          </w:tcPr>
          <w:p>
            <w:pPr>
              <w:spacing w:before="60" w:after="60"/>
            </w:pPr>
            <w:r>
              <w:rPr>
                <w:rFonts w:ascii="Arial" w:hAnsi="Arial"/>
                <w:sz w:val="18"/>
              </w:rPr>
              <w:t>0.9641</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Bidirectional RNN</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0.8911</w:t>
            </w:r>
          </w:p>
        </w:tc>
        <w:tc>
          <w:tcPr>
            <w:tcW w:type="dxa" w:w="1584"/>
          </w:tcPr>
          <w:p>
            <w:pPr>
              <w:spacing w:before="60" w:after="60"/>
            </w:pPr>
            <w:r>
              <w:rPr>
                <w:rFonts w:ascii="Arial" w:hAnsi="Arial"/>
                <w:sz w:val="18"/>
              </w:rPr>
              <w:t>1.0000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0.5577</w:t>
            </w:r>
          </w:p>
        </w:tc>
        <w:tc>
          <w:tcPr>
            <w:tcW w:type="dxa" w:w="1584"/>
          </w:tcPr>
          <w:p>
            <w:pPr>
              <w:spacing w:before="60" w:after="60"/>
            </w:pPr>
            <w:r>
              <w:rPr>
                <w:rFonts w:ascii="Arial" w:hAnsi="Arial"/>
                <w:sz w:val="18"/>
              </w:rPr>
              <w:t>0.8075</w:t>
            </w:r>
          </w:p>
        </w:tc>
        <w:tc>
          <w:tcPr>
            <w:tcW w:type="dxa" w:w="2592"/>
          </w:tcPr>
          <w:p>
            <w:pPr>
              <w:spacing w:before="60" w:after="60"/>
            </w:pPr>
            <w:r>
              <w:rPr>
                <w:rFonts w:ascii="Arial" w:hAnsi="Arial"/>
                <w:sz w:val="18"/>
              </w:rPr>
              <w:t>18.80%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0.7032</w:t>
            </w:r>
          </w:p>
        </w:tc>
        <w:tc>
          <w:tcPr>
            <w:tcW w:type="dxa" w:w="1584"/>
          </w:tcPr>
          <w:p>
            <w:pPr>
              <w:spacing w:before="60" w:after="60"/>
            </w:pPr>
            <w:r>
              <w:rPr>
                <w:rFonts w:ascii="Arial" w:hAnsi="Arial"/>
                <w:sz w:val="18"/>
              </w:rPr>
              <w:t>0.9921</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LSTM</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0.8645</w:t>
            </w:r>
          </w:p>
        </w:tc>
        <w:tc>
          <w:tcPr>
            <w:tcW w:type="dxa" w:w="1584"/>
          </w:tcPr>
          <w:p>
            <w:pPr>
              <w:spacing w:before="60" w:after="60"/>
            </w:pPr>
            <w:r>
              <w:rPr>
                <w:rFonts w:ascii="Arial" w:hAnsi="Arial"/>
                <w:sz w:val="18"/>
              </w:rPr>
              <w:t>0.9915</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0.2</w:t>
            </w:r>
          </w:p>
        </w:tc>
        <w:tc>
          <w:tcPr>
            <w:tcW w:type="dxa" w:w="1584"/>
          </w:tcPr>
          <w:p>
            <w:pPr>
              <w:spacing w:before="60" w:after="60"/>
            </w:pPr>
            <w:r>
              <w:rPr>
                <w:rFonts w:ascii="Arial" w:hAnsi="Arial"/>
                <w:sz w:val="18"/>
              </w:rPr>
              <w:t>0.5633</w:t>
            </w:r>
          </w:p>
        </w:tc>
        <w:tc>
          <w:tcPr>
            <w:tcW w:type="dxa" w:w="1584"/>
          </w:tcPr>
          <w:p>
            <w:pPr>
              <w:spacing w:before="60" w:after="60"/>
            </w:pPr>
            <w:r>
              <w:rPr>
                <w:rFonts w:ascii="Arial" w:hAnsi="Arial"/>
                <w:sz w:val="18"/>
              </w:rPr>
              <w:t>0.7967</w:t>
            </w:r>
          </w:p>
        </w:tc>
        <w:tc>
          <w:tcPr>
            <w:tcW w:type="dxa" w:w="2592"/>
          </w:tcPr>
          <w:p>
            <w:pPr>
              <w:spacing w:before="60" w:after="60"/>
            </w:pPr>
            <w:r>
              <w:rPr>
                <w:rFonts w:ascii="Arial" w:hAnsi="Arial"/>
                <w:sz w:val="18"/>
              </w:rPr>
              <w:t>15.86%</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0.7</w:t>
            </w:r>
          </w:p>
        </w:tc>
        <w:tc>
          <w:tcPr>
            <w:tcW w:type="dxa" w:w="1584"/>
          </w:tcPr>
          <w:p>
            <w:pPr>
              <w:spacing w:before="60" w:after="60"/>
            </w:pPr>
            <w:r>
              <w:rPr>
                <w:rFonts w:ascii="Arial" w:hAnsi="Arial"/>
                <w:sz w:val="18"/>
              </w:rPr>
              <w:t>0.7368</w:t>
            </w:r>
          </w:p>
        </w:tc>
        <w:tc>
          <w:tcPr>
            <w:tcW w:type="dxa" w:w="1584"/>
          </w:tcPr>
          <w:p>
            <w:pPr>
              <w:spacing w:before="60" w:after="60"/>
            </w:pPr>
            <w:r>
              <w:rPr>
                <w:rFonts w:ascii="Arial" w:hAnsi="Arial"/>
                <w:sz w:val="18"/>
              </w:rPr>
              <w:t>0.9720</w:t>
            </w:r>
          </w:p>
        </w:tc>
        <w:tc>
          <w:tcPr>
            <w:tcW w:type="dxa" w:w="2592"/>
          </w:tcPr>
          <w:p>
            <w:pPr>
              <w:spacing w:before="60" w:after="60"/>
            </w:pPr>
            <w:r>
              <w:rPr>
                <w:rFonts w:ascii="Arial" w:hAnsi="Arial"/>
                <w:sz w:val="18"/>
              </w:rPr>
              <w:t>0.00%</w:t>
            </w:r>
          </w:p>
        </w:tc>
      </w:tr>
      <w:tr>
        <w:tc>
          <w:tcPr>
            <w:tcW w:type="dxa" w:w="2160"/>
          </w:tcPr>
          <w:p>
            <w:pPr>
              <w:spacing w:before="60" w:after="60"/>
            </w:pPr>
            <w:r>
              <w:rPr>
                <w:rFonts w:ascii="Arial" w:hAnsi="Arial"/>
                <w:sz w:val="18"/>
              </w:rPr>
              <w:t>GRU</w:t>
            </w:r>
          </w:p>
        </w:tc>
        <w:tc>
          <w:tcPr>
            <w:tcW w:type="dxa" w:w="1728"/>
          </w:tcPr>
          <w:p>
            <w:pPr>
              <w:spacing w:before="60" w:after="60"/>
            </w:pPr>
            <w:r>
              <w:rPr>
                <w:rFonts w:ascii="Arial" w:hAnsi="Arial"/>
                <w:sz w:val="18"/>
              </w:rPr>
              <w:t>T = 1.2</w:t>
            </w:r>
          </w:p>
        </w:tc>
        <w:tc>
          <w:tcPr>
            <w:tcW w:type="dxa" w:w="1584"/>
          </w:tcPr>
          <w:p>
            <w:pPr>
              <w:spacing w:before="60" w:after="60"/>
            </w:pPr>
            <w:r>
              <w:rPr>
                <w:rFonts w:ascii="Arial" w:hAnsi="Arial"/>
                <w:sz w:val="18"/>
              </w:rPr>
              <w:t>0.8368</w:t>
            </w:r>
          </w:p>
        </w:tc>
        <w:tc>
          <w:tcPr>
            <w:tcW w:type="dxa" w:w="1584"/>
          </w:tcPr>
          <w:p>
            <w:pPr>
              <w:spacing w:before="60" w:after="60"/>
            </w:pPr>
            <w:r>
              <w:rPr>
                <w:rFonts w:ascii="Arial" w:hAnsi="Arial"/>
                <w:sz w:val="18"/>
              </w:rPr>
              <w:t>0.9921</w:t>
            </w:r>
          </w:p>
        </w:tc>
        <w:tc>
          <w:tcPr>
            <w:tcW w:type="dxa" w:w="2592"/>
          </w:tcPr>
          <w:p>
            <w:pPr>
              <w:spacing w:before="60" w:after="60"/>
            </w:pPr>
            <w:r>
              <w:rPr>
                <w:rFonts w:ascii="Arial" w:hAnsi="Arial"/>
                <w:sz w:val="18"/>
              </w:rPr>
              <w:t>0.00%</w:t>
            </w:r>
          </w:p>
        </w:tc>
      </w:tr>
    </w:tbl>
    <w:p>
      <w:pPr>
        <w:spacing w:before="120"/>
      </w:pPr>
      <w:r>
        <w:t>Softmax Temperature Mechanics &amp; Attractor Basin Formation:</w:t>
        <w:br/>
        <w:t>Given raw model logits z_i, temperature scaling scales the logits by 1/T prior to normalization: P(w_i) = exp(z_i / T) / sum_j exp(z_j / T).</w:t>
        <w:br/>
        <w:t>• At low temperature (T = 0.2): Probability mass concentrates heavily on the mode (argmax). When recurrent states enter a cyclic transition matrix (such as 'in the matter of the...'), the deterministic argmax collapses into a closed Markovian attractor loop, resulting in high 3-gram repetition (up to 25.51% for Simple RNN and 25.03% for BiRNN).</w:t>
        <w:br/>
        <w:t>• At moderate temperature (T = 0.7): Distribution entropy expands sufficiently to escape local attractor basins while remaining concentrated enough to preserve Victorian grammatical syntax. This eliminates 3-gram repetition completely (0.00% across all models).</w:t>
        <w:br/>
        <w:t>• At high temperature (T = 1.2): Entropy approaches the uniform distribution over 4,378 tokens (H_max = 12.096 bits), causing sampling from the low-probability distributional tail and degrading syntactic coherence.</w:t>
      </w:r>
    </w:p>
    <w:p>
      <w:pPr>
        <w:spacing w:before="160" w:after="40"/>
        <w:jc w:val="center"/>
      </w:pPr>
      <w:r>
        <w:drawing>
          <wp:inline xmlns:a="http://schemas.openxmlformats.org/drawingml/2006/main" xmlns:pic="http://schemas.openxmlformats.org/drawingml/2006/picture">
            <wp:extent cx="5486400" cy="1714500"/>
            <wp:docPr id="10" name="Picture 10"/>
            <wp:cNvGraphicFramePr>
              <a:graphicFrameLocks noChangeAspect="1"/>
            </wp:cNvGraphicFramePr>
            <a:graphic>
              <a:graphicData uri="http://schemas.openxmlformats.org/drawingml/2006/picture">
                <pic:pic>
                  <pic:nvPicPr>
                    <pic:cNvPr id="0" name="qualitative_metrics.png"/>
                    <pic:cNvPicPr/>
                  </pic:nvPicPr>
                  <pic:blipFill>
                    <a:blip r:embed="rId18"/>
                    <a:stretch>
                      <a:fillRect/>
                    </a:stretch>
                  </pic:blipFill>
                  <pic:spPr>
                    <a:xfrm>
                      <a:off x="0" y="0"/>
                      <a:ext cx="5486400" cy="1714500"/>
                    </a:xfrm>
                    <a:prstGeom prst="rect"/>
                  </pic:spPr>
                </pic:pic>
              </a:graphicData>
            </a:graphic>
          </wp:inline>
        </w:drawing>
      </w:r>
    </w:p>
    <w:p>
      <w:pPr>
        <w:spacing w:after="200"/>
        <w:jc w:val="center"/>
      </w:pPr>
      <w:r>
        <w:rPr>
          <w:rFonts w:ascii="Arial" w:hAnsi="Arial"/>
          <w:i/>
          <w:color w:val="555555"/>
          <w:sz w:val="17"/>
        </w:rPr>
        <w:t>Figure 10: Multi-metric temperature response showing Distinct-1, Distinct-2, and Repetition Rate dynamics across T in {0.2, 0.7, 1.2}.</w:t>
      </w:r>
    </w:p>
    <w:p>
      <w:pPr>
        <w:pStyle w:val="Heading1"/>
      </w:pPr>
      <w:r>
        <w:rPr>
          <w:rFonts w:ascii="Arial" w:hAnsi="Arial"/>
          <w:b/>
          <w:color w:val="1B365D"/>
          <w:sz w:val="30"/>
        </w:rPr>
        <w:t>6. Qualitative Text Generation Samples (T = 0.7)</w:t>
      </w:r>
    </w:p>
    <w:p>
      <w:pPr>
        <w:spacing w:before="80" w:after="80"/>
      </w:pPr>
      <w:r>
        <w:rPr>
          <w:b/>
          <w:color w:val="1B365D"/>
          <w:sz w:val="19"/>
        </w:rPr>
        <w:t>[LSTM | Temperature = 0.7 | Seed: Seed 1]</w:t>
        <w:br/>
      </w:r>
      <w:r>
        <w:rPr>
          <w:i/>
          <w:sz w:val="18"/>
        </w:rPr>
        <w:t>"it was a dark and stormy night when i had not done the looking. i was not bad a word, said holmes. he would be staggered that i came by the evening of the inquiry s death, and i have been made. the"</w:t>
        <w:br/>
      </w:r>
      <w:r>
        <w:rPr>
          <w:color w:val="666666"/>
          <w:sz w:val="16"/>
        </w:rPr>
        <w:t>Metrics: Distinct-1 = 0.7368 | Distinct-2 = 1.0000 | Repetition Rate = 0.00%</w:t>
        <w:br/>
      </w:r>
    </w:p>
    <w:p>
      <w:pPr>
        <w:spacing w:before="80" w:after="80"/>
      </w:pPr>
      <w:r>
        <w:rPr>
          <w:b/>
          <w:color w:val="1B365D"/>
          <w:sz w:val="19"/>
        </w:rPr>
        <w:t>[LSTM | Temperature = 0.7 | Seed: Seed 2]</w:t>
        <w:br/>
      </w:r>
      <w:r>
        <w:rPr>
          <w:i/>
          <w:sz w:val="18"/>
        </w:rPr>
        <w:t>"holmes sat in silence for a few minutes and then said he was a small of in the north of the order in the fire, i had not been just a family, and i have been better by the matter. the lamp is a man s need,"</w:t>
        <w:br/>
      </w:r>
      <w:r>
        <w:rPr>
          <w:color w:val="666666"/>
          <w:sz w:val="16"/>
        </w:rPr>
        <w:t>Metrics: Distinct-1 = 0.6977 | Distinct-2 = 0.9762 | Repetition Rate = 0.00%</w:t>
        <w:br/>
      </w:r>
    </w:p>
    <w:p>
      <w:pPr>
        <w:spacing w:before="80" w:after="80"/>
      </w:pPr>
      <w:r>
        <w:rPr>
          <w:b/>
          <w:color w:val="1B365D"/>
          <w:sz w:val="19"/>
        </w:rPr>
        <w:t>[LSTM | Temperature = 0.7 | Seed: Seed 3]</w:t>
        <w:br/>
      </w:r>
      <w:r>
        <w:rPr>
          <w:i/>
          <w:sz w:val="18"/>
        </w:rPr>
        <w:t>"the police had discovered no clue regarding the mystery of the passage. but i am, and i have been already for his time, i remarked, remarked i imagine that i had no man upon the sufferer s s paper. i could not see that the"</w:t>
        <w:br/>
      </w:r>
      <w:r>
        <w:rPr>
          <w:color w:val="666666"/>
          <w:sz w:val="16"/>
        </w:rPr>
        <w:t>Metrics: Distinct-1 = 0.6750 | Distinct-2 = 1.0000 | Repetition Rate = 0.00%</w:t>
        <w:br/>
      </w:r>
    </w:p>
    <w:p>
      <w:pPr>
        <w:spacing w:before="80" w:after="80"/>
      </w:pPr>
      <w:r>
        <w:rPr>
          <w:b/>
          <w:color w:val="1B365D"/>
          <w:sz w:val="19"/>
        </w:rPr>
        <w:t>[GRU | Temperature = 0.7 | Seed: Seed 1]</w:t>
        <w:br/>
      </w:r>
      <w:r>
        <w:rPr>
          <w:i/>
          <w:sz w:val="18"/>
        </w:rPr>
        <w:t>"it was a dark and stormy night when a man later, and this herself choked, with a huge hair of great very town to the circumstances. we have now been able to the house, and two of the gale. but he had been"</w:t>
        <w:br/>
      </w:r>
      <w:r>
        <w:rPr>
          <w:color w:val="666666"/>
          <w:sz w:val="16"/>
        </w:rPr>
        <w:t>Metrics: Distinct-1 = 0.7632 | Distinct-2 = 0.9730 | Repetition Rate = 0.00%</w:t>
        <w:br/>
      </w:r>
    </w:p>
    <w:p>
      <w:pPr>
        <w:pStyle w:val="Heading1"/>
      </w:pPr>
      <w:r>
        <w:rPr>
          <w:rFonts w:ascii="Arial" w:hAnsi="Arial"/>
          <w:b/>
          <w:color w:val="1B365D"/>
          <w:sz w:val="30"/>
        </w:rPr>
        <w:t>7. Comparative Architecture Analysis &amp; Conclusions</w:t>
      </w:r>
    </w:p>
    <w:p>
      <w:pPr>
        <w:pStyle w:val="ListBullet"/>
        <w:spacing w:before="40" w:after="60"/>
      </w:pPr>
      <w:r>
        <w:rPr>
          <w:rFonts w:ascii="Arial" w:hAnsi="Arial"/>
          <w:b/>
          <w:color w:val="1B365D"/>
          <w:sz w:val="19"/>
        </w:rPr>
        <w:t xml:space="preserve">Champion Architecture (GRU): </w:t>
      </w:r>
      <w:r>
        <w:rPr>
          <w:rFonts w:ascii="Arial" w:hAnsi="Arial"/>
          <w:sz w:val="19"/>
        </w:rPr>
        <w:t>The Gated Recurrent Unit achieved the best quantitative performance across all metrics: lowest Test Loss (4.8602), lowest Test Perplexity (129.05), highest Top-1 Accuracy (17.86%), and highest Top-5 Accuracy (39.94%). Compared to random guessing over 4,378 tokens (0.0228%), the GRU is 783x more accurate. Its coupled update-reset gating enables effective long-range gradient propagation with fewer parameters (2.38M) than LSTM, avoiding parameter over-capacity on a 120k-token corpus.</w:t>
      </w:r>
    </w:p>
    <w:p>
      <w:pPr>
        <w:pStyle w:val="ListBullet"/>
        <w:spacing w:before="40" w:after="60"/>
      </w:pPr>
      <w:r>
        <w:rPr>
          <w:rFonts w:ascii="Arial" w:hAnsi="Arial"/>
          <w:b/>
          <w:color w:val="1B365D"/>
          <w:sz w:val="19"/>
        </w:rPr>
        <w:t xml:space="preserve">LSTM Competitiveness &amp; Speed: </w:t>
      </w:r>
      <w:r>
        <w:rPr>
          <w:rFonts w:ascii="Arial" w:hAnsi="Arial"/>
          <w:sz w:val="19"/>
        </w:rPr>
        <w:t>LSTM was the second-best model (Test Loss 4.8809, PPL 131.74, Top-1 Acc 17.22%, Top-5 Acc 38.59%) and exhibited the lowest inference latency (1.65 ms per batch), making it highly competitive for latency-critical deployment.</w:t>
      </w:r>
    </w:p>
    <w:p>
      <w:pPr>
        <w:pStyle w:val="ListBullet"/>
        <w:spacing w:before="40" w:after="60"/>
      </w:pPr>
      <w:r>
        <w:rPr>
          <w:rFonts w:ascii="Arial" w:hAnsi="Arial"/>
          <w:b/>
          <w:color w:val="1B365D"/>
          <w:sz w:val="19"/>
        </w:rPr>
        <w:t xml:space="preserve">Simple RNN Vanishing Gradients: </w:t>
      </w:r>
      <w:r>
        <w:rPr>
          <w:rFonts w:ascii="Arial" w:hAnsi="Arial"/>
          <w:sz w:val="19"/>
        </w:rPr>
        <w:t>The un-gated Simple RNN suffered from severe vanishing gradients across the 20-token horizon, yielding the highest Test Perplexity (159.28) and lowest accuracy (Top-1 16.35%). At low temperature (T=0.2), Simple RNN succumbed to severe degenerate repetition loops (25.51% 3-gram repetition).</w:t>
      </w:r>
    </w:p>
    <w:p>
      <w:pPr>
        <w:pStyle w:val="ListBullet"/>
        <w:spacing w:before="40" w:after="60"/>
      </w:pPr>
      <w:r>
        <w:rPr>
          <w:rFonts w:ascii="Arial" w:hAnsi="Arial"/>
          <w:b/>
          <w:color w:val="1B365D"/>
          <w:sz w:val="19"/>
        </w:rPr>
        <w:t xml:space="preserve">Bidirectional RNN Causal Mismatch: </w:t>
      </w:r>
      <w:r>
        <w:rPr>
          <w:rFonts w:ascii="Arial" w:hAnsi="Arial"/>
          <w:sz w:val="19"/>
        </w:rPr>
        <w:t>BiRNN achieved reasonable training metrics but is structurally incompatible with autoregressive generation: bidirectional encoding conditions on future tokens during training, while taking out[:, -1, :] during next-word prediction causes the backward branch to only see the final token. This causal mismatch produced high repetition loops (25.03% at T=0.2).</w:t>
      </w:r>
    </w:p>
    <w:p>
      <w:pPr>
        <w:pStyle w:val="ListBullet"/>
        <w:spacing w:before="40" w:after="60"/>
      </w:pPr>
      <w:r>
        <w:rPr>
          <w:rFonts w:ascii="Arial" w:hAnsi="Arial"/>
          <w:b/>
          <w:color w:val="1B365D"/>
          <w:sz w:val="19"/>
        </w:rPr>
        <w:t xml:space="preserve">Optimal Operational Temperature (T = 0.7): </w:t>
      </w:r>
      <w:r>
        <w:rPr>
          <w:rFonts w:ascii="Arial" w:hAnsi="Arial"/>
          <w:sz w:val="19"/>
        </w:rPr>
        <w:t>Temperature T = 0.7 represents the empirical sweet spot between coherence and diversity: Distinct-1 reached 0.70-0.80, Distinct-2 reached 0.96-0.99, and 3-gram repetition was completely eradicated (0.00% across all models). In contrast, T = 0.2 causes repetitive mode collapse, while T = 1.2 induces syntactic disintegration.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