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B365D"/>
          <w:sz w:val="34"/>
        </w:rPr>
        <w:t>Foundations of Generative AI (ICT4403)</w:t>
        <w:br/>
        <w:t>Assignment 2: Comparative Autoregressive Text Generation</w:t>
      </w:r>
    </w:p>
    <w:p>
      <w:pPr>
        <w:spacing w:after="240"/>
        <w:jc w:val="center"/>
      </w:pPr>
      <w:r>
        <w:rPr>
          <w:rFonts w:ascii="Arial" w:hAnsi="Arial"/>
          <w:i/>
          <w:color w:val="555555"/>
          <w:sz w:val="22"/>
        </w:rPr>
        <w:t>Research-Grade Exploratory Data Analysis, Recurrent Neural Architectures, and Empirical Generation Dynamics</w:t>
      </w:r>
    </w:p>
    <w:p>
      <w:pPr>
        <w:pStyle w:val="Heading1"/>
      </w:pPr>
      <w:r>
        <w:rPr>
          <w:rFonts w:ascii="Arial" w:hAnsi="Arial"/>
          <w:b/>
          <w:color w:val="1B365D"/>
          <w:sz w:val="30"/>
        </w:rPr>
        <w:t>1. Mandatory Submission Identification</w:t>
      </w:r>
    </w:p>
    <w:tbl>
      <w:tblPr>
        <w:tblStyle w:val="TableGrid"/>
        <w:tblW w:type="auto" w:w="0"/>
        <w:tblLook w:firstColumn="1" w:firstRow="1" w:lastColumn="0" w:lastRow="0" w:noHBand="0" w:noVBand="1" w:val="04A0"/>
      </w:tblPr>
      <w:tblGrid>
        <w:gridCol w:w="5040"/>
        <w:gridCol w:w="5040"/>
      </w:tblGrid>
      <w:tr>
        <w:tc>
          <w:tcPr>
            <w:tcW w:type="dxa" w:w="3168"/>
          </w:tcPr>
          <w:p>
            <w:r>
              <w:rPr>
                <w:rFonts w:ascii="Arial" w:hAnsi="Arial"/>
                <w:b/>
                <w:sz w:val="19"/>
              </w:rPr>
              <w:t>Student Full Name</w:t>
            </w:r>
          </w:p>
        </w:tc>
        <w:tc>
          <w:tcPr>
            <w:tcW w:type="dxa" w:w="6912"/>
          </w:tcPr>
          <w:p>
            <w:r>
              <w:rPr>
                <w:rFonts w:ascii="Arial" w:hAnsi="Arial"/>
                <w:sz w:val="19"/>
              </w:rPr>
              <w:t>Varanasi Naga Akhil</w:t>
            </w:r>
          </w:p>
        </w:tc>
      </w:tr>
      <w:tr>
        <w:tc>
          <w:tcPr>
            <w:tcW w:type="dxa" w:w="3168"/>
          </w:tcPr>
          <w:p>
            <w:r>
              <w:rPr>
                <w:rFonts w:ascii="Arial" w:hAnsi="Arial"/>
                <w:b/>
                <w:sz w:val="19"/>
              </w:rPr>
              <w:t>Registration Number</w:t>
            </w:r>
          </w:p>
        </w:tc>
        <w:tc>
          <w:tcPr>
            <w:tcW w:type="dxa" w:w="6912"/>
          </w:tcPr>
          <w:p>
            <w:r>
              <w:rPr>
                <w:rFonts w:ascii="Arial" w:hAnsi="Arial"/>
                <w:sz w:val="19"/>
              </w:rPr>
              <w:t>230953496</w:t>
            </w:r>
          </w:p>
        </w:tc>
      </w:tr>
      <w:tr>
        <w:tc>
          <w:tcPr>
            <w:tcW w:type="dxa" w:w="3168"/>
          </w:tcPr>
          <w:p>
            <w:r>
              <w:rPr>
                <w:rFonts w:ascii="Arial" w:hAnsi="Arial"/>
                <w:b/>
                <w:sz w:val="19"/>
              </w:rPr>
              <w:t>Course &amp; Assignment</w:t>
            </w:r>
          </w:p>
        </w:tc>
        <w:tc>
          <w:tcPr>
            <w:tcW w:type="dxa" w:w="6912"/>
          </w:tcPr>
          <w:p>
            <w:r>
              <w:rPr>
                <w:rFonts w:ascii="Arial" w:hAnsi="Arial"/>
                <w:sz w:val="19"/>
              </w:rPr>
              <w:t>Foundations of Generative AI (ICT4403) - Assignment 2</w:t>
            </w:r>
          </w:p>
        </w:tc>
      </w:tr>
      <w:tr>
        <w:tc>
          <w:tcPr>
            <w:tcW w:type="dxa" w:w="3168"/>
          </w:tcPr>
          <w:p>
            <w:r>
              <w:rPr>
                <w:rFonts w:ascii="Arial" w:hAnsi="Arial"/>
                <w:b/>
                <w:sz w:val="19"/>
              </w:rPr>
              <w:t>System Architecture Title</w:t>
            </w:r>
          </w:p>
        </w:tc>
        <w:tc>
          <w:tcPr>
            <w:tcW w:type="dxa" w:w="6912"/>
          </w:tcPr>
          <w:p>
            <w:r>
              <w:rPr>
                <w:rFonts w:ascii="Arial" w:hAnsi="Arial"/>
                <w:sz w:val="19"/>
              </w:rPr>
              <w:t>Autoregressive Text Generation System using Simple RNN, Bidirectional RNN, LSTM, and GRU</w:t>
            </w:r>
          </w:p>
        </w:tc>
      </w:tr>
      <w:tr>
        <w:tc>
          <w:tcPr>
            <w:tcW w:type="dxa" w:w="3168"/>
          </w:tcPr>
          <w:p>
            <w:r>
              <w:rPr>
                <w:rFonts w:ascii="Arial" w:hAnsi="Arial"/>
                <w:b/>
                <w:sz w:val="19"/>
              </w:rPr>
              <w:t>Dataset Name &amp; Source URL</w:t>
            </w:r>
          </w:p>
        </w:tc>
        <w:tc>
          <w:tcPr>
            <w:tcW w:type="dxa" w:w="6912"/>
          </w:tcPr>
          <w:p>
            <w:r>
              <w:rPr>
                <w:rFonts w:ascii="Arial" w:hAnsi="Arial"/>
                <w:color w:val="0055AA"/>
                <w:sz w:val="19"/>
                <w:u w:val="single"/>
              </w:rPr>
              <w:t>The Adventures of Sherlock Holmes by Sir Arthur Conan Doyle (Project Gutenberg eBook #1661)</w:t>
              <w:br/>
              <w:t>URL: https://www.gutenberg.org/ebooks/1661</w:t>
            </w:r>
          </w:p>
        </w:tc>
      </w:tr>
      <w:tr>
        <w:tc>
          <w:tcPr>
            <w:tcW w:type="dxa" w:w="3168"/>
          </w:tcPr>
          <w:p>
            <w:r>
              <w:rPr>
                <w:rFonts w:ascii="Arial" w:hAnsi="Arial"/>
                <w:b/>
                <w:sz w:val="19"/>
              </w:rPr>
              <w:t>GitHub Repository Link</w:t>
            </w:r>
          </w:p>
        </w:tc>
        <w:tc>
          <w:tcPr>
            <w:tcW w:type="dxa" w:w="6912"/>
          </w:tcPr>
          <w:p>
            <w:r>
              <w:rPr>
                <w:rFonts w:ascii="Arial" w:hAnsi="Arial"/>
                <w:color w:val="0055AA"/>
                <w:sz w:val="19"/>
                <w:u w:val="single"/>
              </w:rPr>
              <w:t>https://github.com/AkCodes23/FGAI_Assignment.git</w:t>
            </w:r>
          </w:p>
        </w:tc>
      </w:tr>
    </w:tbl>
    <w:p/>
    <w:p>
      <w:pPr>
        <w:pStyle w:val="Heading1"/>
      </w:pPr>
      <w:r>
        <w:rPr>
          <w:rFonts w:ascii="Arial" w:hAnsi="Arial"/>
          <w:b/>
          <w:color w:val="1B365D"/>
          <w:sz w:val="30"/>
        </w:rPr>
        <w:t>2. End-to-End System Architecture &amp; Mathematical Formulation</w:t>
      </w:r>
    </w:p>
    <w:p>
      <w:pPr>
        <w:spacing w:after="120"/>
      </w:pPr>
      <w:r>
        <w:t>The autoregressive text generation system processes raw literary text into a clean sequence of discrete tokens, constructs causal sliding-window training pairs, maps tokens into continuous dense embeddings, and trains four controlled recurrent neural architectures (Simple RNN, Bidirectional RNN, LSTM, and GRU) to sequentially model the conditional probability distribution P(w_{t+1} | w_1, ..., w_t). At inference time, temperature-controlled stochastic sampling generates multi-sentence narrative continuations while enforcing special-token masking to prevent degenerate outputs.</w:t>
      </w:r>
    </w:p>
    <w:p>
      <w:pPr>
        <w:pStyle w:val="Heading2"/>
      </w:pPr>
      <w:r>
        <w:rPr>
          <w:rFonts w:ascii="Arial" w:hAnsi="Arial"/>
          <w:b/>
          <w:color w:val="2C3E50"/>
          <w:sz w:val="25"/>
        </w:rPr>
        <w:t>2.1 Modular Pipeline &amp; Latent Data Flow</w:t>
      </w:r>
    </w:p>
    <w:p>
      <w:pPr>
        <w:spacing w:before="160" w:after="40"/>
        <w:jc w:val="center"/>
      </w:pPr>
      <w:r>
        <w:drawing>
          <wp:inline xmlns:a="http://schemas.openxmlformats.org/drawingml/2006/main" xmlns:pic="http://schemas.openxmlformats.org/drawingml/2006/picture">
            <wp:extent cx="5669280" cy="3222109"/>
            <wp:docPr id="1" name="Picture 1"/>
            <wp:cNvGraphicFramePr>
              <a:graphicFrameLocks noChangeAspect="1"/>
            </wp:cNvGraphicFramePr>
            <a:graphic>
              <a:graphicData uri="http://schemas.openxmlformats.org/drawingml/2006/picture">
                <pic:pic>
                  <pic:nvPicPr>
                    <pic:cNvPr id="0" name="system_architecture_diagram.png"/>
                    <pic:cNvPicPr/>
                  </pic:nvPicPr>
                  <pic:blipFill>
                    <a:blip r:embed="rId9"/>
                    <a:stretch>
                      <a:fillRect/>
                    </a:stretch>
                  </pic:blipFill>
                  <pic:spPr>
                    <a:xfrm>
                      <a:off x="0" y="0"/>
                      <a:ext cx="5669280" cy="3222109"/>
                    </a:xfrm>
                    <a:prstGeom prst="rect"/>
                  </pic:spPr>
                </pic:pic>
              </a:graphicData>
            </a:graphic>
          </wp:inline>
        </w:drawing>
      </w:r>
    </w:p>
    <w:p>
      <w:pPr>
        <w:spacing w:after="200"/>
        <w:jc w:val="center"/>
      </w:pPr>
      <w:r>
        <w:rPr>
          <w:rFonts w:ascii="Arial" w:hAnsi="Arial"/>
          <w:i/>
          <w:color w:val="555555"/>
          <w:sz w:val="17"/>
        </w:rPr>
        <w:t>Figure 1: End-to-end modular system architecture showing data ingestion, embedding projection, recurrent latent encoding, and controlled stochastic autoregressive generation.</w:t>
      </w:r>
    </w:p>
    <w:p>
      <w:pPr>
        <w:pStyle w:val="Heading2"/>
      </w:pPr>
      <w:r>
        <w:rPr>
          <w:rFonts w:ascii="Arial" w:hAnsi="Arial"/>
          <w:b/>
          <w:color w:val="2C3E50"/>
          <w:sz w:val="25"/>
        </w:rPr>
        <w:t>2.2 Mathematical Parameter Allocation &amp; Capacity Matching</w:t>
      </w:r>
    </w:p>
    <w:p>
      <w:pPr>
        <w:spacing w:after="80"/>
      </w:pPr>
      <w:r>
        <w:t>A rigorous scientific benchmark requires strictly controlling non-recurrent capacity across all models. In our implementation, all four architectures share identical embedding dimensionality (d_e = 128), matched effective hidden representation size (d_h = 256), and identical vocabulary dimension (V = 4,378). Consequently, the non-recurrent parameter allocations are strictly invariant across all experiments.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304"/>
            <w:shd w:fill="1B365D"/>
          </w:tcPr>
          <w:p>
            <w:pPr>
              <w:spacing w:before="60" w:after="60"/>
            </w:pPr>
            <w:r>
              <w:rPr>
                <w:rFonts w:ascii="Arial" w:hAnsi="Arial"/>
                <w:b/>
                <w:color w:val="FFFFFF"/>
                <w:sz w:val="18"/>
              </w:rPr>
              <w:t>Component Layer</w:t>
            </w:r>
          </w:p>
        </w:tc>
        <w:tc>
          <w:tcPr>
            <w:tcW w:type="dxa" w:w="2448"/>
            <w:shd w:fill="1B365D"/>
          </w:tcPr>
          <w:p>
            <w:pPr>
              <w:spacing w:before="60" w:after="60"/>
            </w:pPr>
            <w:r>
              <w:rPr>
                <w:rFonts w:ascii="Arial" w:hAnsi="Arial"/>
                <w:b/>
                <w:color w:val="FFFFFF"/>
                <w:sz w:val="18"/>
              </w:rPr>
              <w:t>Mathematical Formulation</w:t>
            </w:r>
          </w:p>
        </w:tc>
        <w:tc>
          <w:tcPr>
            <w:tcW w:type="dxa" w:w="2448"/>
            <w:shd w:fill="1B365D"/>
          </w:tcPr>
          <w:p>
            <w:pPr>
              <w:spacing w:before="60" w:after="60"/>
            </w:pPr>
            <w:r>
              <w:rPr>
                <w:rFonts w:ascii="Arial" w:hAnsi="Arial"/>
                <w:b/>
                <w:color w:val="FFFFFF"/>
                <w:sz w:val="18"/>
              </w:rPr>
              <w:t>Dimension Mapping</w:t>
            </w:r>
          </w:p>
        </w:tc>
        <w:tc>
          <w:tcPr>
            <w:tcW w:type="dxa" w:w="1440"/>
            <w:shd w:fill="1B365D"/>
          </w:tcPr>
          <w:p>
            <w:pPr>
              <w:spacing w:before="60" w:after="60"/>
            </w:pPr>
            <w:r>
              <w:rPr>
                <w:rFonts w:ascii="Arial" w:hAnsi="Arial"/>
                <w:b/>
                <w:color w:val="FFFFFF"/>
                <w:sz w:val="18"/>
              </w:rPr>
              <w:t>Total Parameters</w:t>
            </w:r>
          </w:p>
        </w:tc>
        <w:tc>
          <w:tcPr>
            <w:tcW w:type="dxa" w:w="1440"/>
            <w:shd w:fill="1B365D"/>
          </w:tcPr>
          <w:p>
            <w:pPr>
              <w:spacing w:before="60" w:after="60"/>
            </w:pPr>
            <w:r>
              <w:rPr>
                <w:rFonts w:ascii="Arial" w:hAnsi="Arial"/>
                <w:b/>
                <w:color w:val="FFFFFF"/>
                <w:sz w:val="18"/>
              </w:rPr>
              <w:t>% of Baseline</w:t>
            </w:r>
          </w:p>
        </w:tc>
      </w:tr>
      <w:tr>
        <w:tc>
          <w:tcPr>
            <w:tcW w:type="dxa" w:w="2304"/>
          </w:tcPr>
          <w:p>
            <w:pPr>
              <w:spacing w:before="60" w:after="60"/>
            </w:pPr>
            <w:r>
              <w:rPr>
                <w:rFonts w:ascii="Arial" w:hAnsi="Arial"/>
                <w:sz w:val="18"/>
              </w:rPr>
              <w:t>Token Embedding Layer</w:t>
            </w:r>
          </w:p>
        </w:tc>
        <w:tc>
          <w:tcPr>
            <w:tcW w:type="dxa" w:w="2448"/>
          </w:tcPr>
          <w:p>
            <w:pPr>
              <w:spacing w:before="60" w:after="60"/>
            </w:pPr>
            <w:r>
              <w:rPr>
                <w:rFonts w:ascii="Arial" w:hAnsi="Arial"/>
                <w:sz w:val="18"/>
              </w:rPr>
              <w:t>V × d_e</w:t>
            </w:r>
          </w:p>
        </w:tc>
        <w:tc>
          <w:tcPr>
            <w:tcW w:type="dxa" w:w="2448"/>
          </w:tcPr>
          <w:p>
            <w:pPr>
              <w:spacing w:before="60" w:after="60"/>
            </w:pPr>
            <w:r>
              <w:rPr>
                <w:rFonts w:ascii="Arial" w:hAnsi="Arial"/>
                <w:sz w:val="18"/>
              </w:rPr>
              <w:t>4,378 × 128</w:t>
            </w:r>
          </w:p>
        </w:tc>
        <w:tc>
          <w:tcPr>
            <w:tcW w:type="dxa" w:w="1440"/>
          </w:tcPr>
          <w:p>
            <w:pPr>
              <w:spacing w:before="60" w:after="60"/>
            </w:pPr>
            <w:r>
              <w:rPr>
                <w:rFonts w:ascii="Arial" w:hAnsi="Arial"/>
                <w:sz w:val="18"/>
              </w:rPr>
              <w:t>560,384</w:t>
            </w:r>
          </w:p>
        </w:tc>
        <w:tc>
          <w:tcPr>
            <w:tcW w:type="dxa" w:w="1440"/>
          </w:tcPr>
          <w:p>
            <w:pPr>
              <w:spacing w:before="60" w:after="60"/>
            </w:pPr>
            <w:r>
              <w:rPr>
                <w:rFonts w:ascii="Arial" w:hAnsi="Arial"/>
                <w:sz w:val="18"/>
              </w:rPr>
              <w:t>33.25%</w:t>
            </w:r>
          </w:p>
        </w:tc>
      </w:tr>
      <w:tr>
        <w:tc>
          <w:tcPr>
            <w:tcW w:type="dxa" w:w="2304"/>
          </w:tcPr>
          <w:p>
            <w:pPr>
              <w:spacing w:before="60" w:after="60"/>
            </w:pPr>
            <w:r>
              <w:rPr>
                <w:rFonts w:ascii="Arial" w:hAnsi="Arial"/>
                <w:sz w:val="18"/>
              </w:rPr>
              <w:t>Output Linear Projection</w:t>
            </w:r>
          </w:p>
        </w:tc>
        <w:tc>
          <w:tcPr>
            <w:tcW w:type="dxa" w:w="2448"/>
          </w:tcPr>
          <w:p>
            <w:pPr>
              <w:spacing w:before="60" w:after="60"/>
            </w:pPr>
            <w:r>
              <w:rPr>
                <w:rFonts w:ascii="Arial" w:hAnsi="Arial"/>
                <w:sz w:val="18"/>
              </w:rPr>
              <w:t>(d_h × V) + V</w:t>
            </w:r>
          </w:p>
        </w:tc>
        <w:tc>
          <w:tcPr>
            <w:tcW w:type="dxa" w:w="2448"/>
          </w:tcPr>
          <w:p>
            <w:pPr>
              <w:spacing w:before="60" w:after="60"/>
            </w:pPr>
            <w:r>
              <w:rPr>
                <w:rFonts w:ascii="Arial" w:hAnsi="Arial"/>
                <w:sz w:val="18"/>
              </w:rPr>
              <w:t>(256 × 4,378) + 4,378</w:t>
            </w:r>
          </w:p>
        </w:tc>
        <w:tc>
          <w:tcPr>
            <w:tcW w:type="dxa" w:w="1440"/>
          </w:tcPr>
          <w:p>
            <w:pPr>
              <w:spacing w:before="60" w:after="60"/>
            </w:pPr>
            <w:r>
              <w:rPr>
                <w:rFonts w:ascii="Arial" w:hAnsi="Arial"/>
                <w:sz w:val="18"/>
              </w:rPr>
              <w:t>1,125,146</w:t>
            </w:r>
          </w:p>
        </w:tc>
        <w:tc>
          <w:tcPr>
            <w:tcW w:type="dxa" w:w="1440"/>
          </w:tcPr>
          <w:p>
            <w:pPr>
              <w:spacing w:before="60" w:after="60"/>
            </w:pPr>
            <w:r>
              <w:rPr>
                <w:rFonts w:ascii="Arial" w:hAnsi="Arial"/>
                <w:sz w:val="18"/>
              </w:rPr>
              <w:t>66.75%</w:t>
            </w:r>
          </w:p>
        </w:tc>
      </w:tr>
      <w:tr>
        <w:tc>
          <w:tcPr>
            <w:tcW w:type="dxa" w:w="2304"/>
          </w:tcPr>
          <w:p>
            <w:pPr>
              <w:spacing w:before="60" w:after="60"/>
            </w:pPr>
            <w:r>
              <w:rPr>
                <w:rFonts w:ascii="Arial" w:hAnsi="Arial"/>
                <w:sz w:val="18"/>
              </w:rPr>
              <w:t>Invariant Baseline Core</w:t>
            </w:r>
          </w:p>
        </w:tc>
        <w:tc>
          <w:tcPr>
            <w:tcW w:type="dxa" w:w="2448"/>
          </w:tcPr>
          <w:p>
            <w:pPr>
              <w:spacing w:before="60" w:after="60"/>
            </w:pPr>
            <w:r>
              <w:rPr>
                <w:rFonts w:ascii="Arial" w:hAnsi="Arial"/>
                <w:sz w:val="18"/>
              </w:rPr>
              <w:t>Embedding + Projection</w:t>
            </w:r>
          </w:p>
        </w:tc>
        <w:tc>
          <w:tcPr>
            <w:tcW w:type="dxa" w:w="2448"/>
          </w:tcPr>
          <w:p>
            <w:pPr>
              <w:spacing w:before="60" w:after="60"/>
            </w:pPr>
            <w:r>
              <w:rPr>
                <w:rFonts w:ascii="Arial" w:hAnsi="Arial"/>
                <w:sz w:val="18"/>
              </w:rPr>
              <w:t>Fixed across all 4 models</w:t>
            </w:r>
          </w:p>
        </w:tc>
        <w:tc>
          <w:tcPr>
            <w:tcW w:type="dxa" w:w="1440"/>
          </w:tcPr>
          <w:p>
            <w:pPr>
              <w:spacing w:before="60" w:after="60"/>
            </w:pPr>
            <w:r>
              <w:rPr>
                <w:rFonts w:ascii="Arial" w:hAnsi="Arial"/>
                <w:sz w:val="18"/>
              </w:rPr>
              <w:t>1,685,530</w:t>
            </w:r>
          </w:p>
        </w:tc>
        <w:tc>
          <w:tcPr>
            <w:tcW w:type="dxa" w:w="1440"/>
          </w:tcPr>
          <w:p>
            <w:pPr>
              <w:spacing w:before="60" w:after="60"/>
            </w:pPr>
            <w:r>
              <w:rPr>
                <w:rFonts w:ascii="Arial" w:hAnsi="Arial"/>
                <w:sz w:val="18"/>
              </w:rPr>
              <w:t>100.00%</w:t>
            </w:r>
          </w:p>
        </w:tc>
      </w:tr>
    </w:tbl>
    <w:p>
      <w:pPr>
        <w:spacing w:before="60" w:after="120"/>
      </w:pPr>
      <w:r>
        <w:rPr>
          <w:rFonts w:ascii="Arial" w:hAnsi="Arial"/>
          <w:i/>
          <w:color w:val="555555"/>
          <w:sz w:val="17"/>
        </w:rPr>
        <w:t>Note: The shared baseline (1,685,530 weights) constitutes 70.3% to 88.5% of total parameter mass across all models, guaranteeing that performance differentials reflect recurrent cell mechanics rather than capacity asymmetry.</w:t>
      </w:r>
    </w:p>
    <w:p>
      <w:pPr>
        <w:spacing w:before="80" w:after="80"/>
      </w:pPr>
      <w:r>
        <w:t>The remaining parameter variance arises strictly from internal gating complexity across the 2 stacked recurrent layers (L = 2):</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872"/>
            <w:shd w:fill="1B365D"/>
          </w:tcPr>
          <w:p>
            <w:pPr>
              <w:spacing w:before="60" w:after="60"/>
            </w:pPr>
            <w:r>
              <w:rPr>
                <w:rFonts w:ascii="Arial" w:hAnsi="Arial"/>
                <w:b/>
                <w:color w:val="FFFFFF"/>
                <w:sz w:val="18"/>
              </w:rPr>
              <w:t>Architecture</w:t>
            </w:r>
          </w:p>
        </w:tc>
        <w:tc>
          <w:tcPr>
            <w:tcW w:type="dxa" w:w="3024"/>
            <w:shd w:fill="1B365D"/>
          </w:tcPr>
          <w:p>
            <w:pPr>
              <w:spacing w:before="60" w:after="60"/>
            </w:pPr>
            <w:r>
              <w:rPr>
                <w:rFonts w:ascii="Arial" w:hAnsi="Arial"/>
                <w:b/>
                <w:color w:val="FFFFFF"/>
                <w:sz w:val="18"/>
              </w:rPr>
              <w:t>Gating Mechanism &amp; Formulation</w:t>
            </w:r>
          </w:p>
        </w:tc>
        <w:tc>
          <w:tcPr>
            <w:tcW w:type="dxa" w:w="1296"/>
            <w:shd w:fill="1B365D"/>
          </w:tcPr>
          <w:p>
            <w:pPr>
              <w:spacing w:before="60" w:after="60"/>
            </w:pPr>
            <w:r>
              <w:rPr>
                <w:rFonts w:ascii="Arial" w:hAnsi="Arial"/>
                <w:b/>
                <w:color w:val="FFFFFF"/>
                <w:sz w:val="18"/>
              </w:rPr>
              <w:t>Layer 1 Weights</w:t>
            </w:r>
          </w:p>
        </w:tc>
        <w:tc>
          <w:tcPr>
            <w:tcW w:type="dxa" w:w="1296"/>
            <w:shd w:fill="1B365D"/>
          </w:tcPr>
          <w:p>
            <w:pPr>
              <w:spacing w:before="60" w:after="60"/>
            </w:pPr>
            <w:r>
              <w:rPr>
                <w:rFonts w:ascii="Arial" w:hAnsi="Arial"/>
                <w:b/>
                <w:color w:val="FFFFFF"/>
                <w:sz w:val="18"/>
              </w:rPr>
              <w:t>Layer 2 Weights</w:t>
            </w:r>
          </w:p>
        </w:tc>
        <w:tc>
          <w:tcPr>
            <w:tcW w:type="dxa" w:w="1296"/>
            <w:shd w:fill="1B365D"/>
          </w:tcPr>
          <w:p>
            <w:pPr>
              <w:spacing w:before="60" w:after="60"/>
            </w:pPr>
            <w:r>
              <w:rPr>
                <w:rFonts w:ascii="Arial" w:hAnsi="Arial"/>
                <w:b/>
                <w:color w:val="FFFFFF"/>
                <w:sz w:val="18"/>
              </w:rPr>
              <w:t>Recurrent Core</w:t>
            </w:r>
          </w:p>
        </w:tc>
        <w:tc>
          <w:tcPr>
            <w:tcW w:type="dxa" w:w="1296"/>
            <w:shd w:fill="1B365D"/>
          </w:tcPr>
          <w:p>
            <w:pPr>
              <w:spacing w:before="60" w:after="60"/>
            </w:pPr>
            <w:r>
              <w:rPr>
                <w:rFonts w:ascii="Arial" w:hAnsi="Arial"/>
                <w:b/>
                <w:color w:val="FFFFFF"/>
                <w:sz w:val="18"/>
              </w:rPr>
              <w:t>Grand Total</w:t>
            </w:r>
          </w:p>
        </w:tc>
      </w:tr>
      <w:tr>
        <w:tc>
          <w:tcPr>
            <w:tcW w:type="dxa" w:w="1872"/>
          </w:tcPr>
          <w:p>
            <w:pPr>
              <w:spacing w:before="60" w:after="60"/>
            </w:pPr>
            <w:r>
              <w:rPr>
                <w:rFonts w:ascii="Arial" w:hAnsi="Arial"/>
                <w:sz w:val="18"/>
              </w:rPr>
              <w:t>Simple RNN</w:t>
            </w:r>
          </w:p>
        </w:tc>
        <w:tc>
          <w:tcPr>
            <w:tcW w:type="dxa" w:w="3024"/>
          </w:tcPr>
          <w:p>
            <w:pPr>
              <w:spacing w:before="60" w:after="60"/>
            </w:pPr>
            <w:r>
              <w:rPr>
                <w:rFonts w:ascii="Arial" w:hAnsi="Arial"/>
                <w:sz w:val="18"/>
              </w:rPr>
              <w:t>1 Gate: tanh(W_ih x_t + W_hh h_{t-1} + b)</w:t>
            </w:r>
          </w:p>
        </w:tc>
        <w:tc>
          <w:tcPr>
            <w:tcW w:type="dxa" w:w="1296"/>
          </w:tcPr>
          <w:p>
            <w:pPr>
              <w:spacing w:before="60" w:after="60"/>
            </w:pPr>
            <w:r>
              <w:rPr>
                <w:rFonts w:ascii="Arial" w:hAnsi="Arial"/>
                <w:sz w:val="18"/>
              </w:rPr>
              <w:t>98,816</w:t>
            </w:r>
          </w:p>
        </w:tc>
        <w:tc>
          <w:tcPr>
            <w:tcW w:type="dxa" w:w="1296"/>
          </w:tcPr>
          <w:p>
            <w:pPr>
              <w:spacing w:before="60" w:after="60"/>
            </w:pPr>
            <w:r>
              <w:rPr>
                <w:rFonts w:ascii="Arial" w:hAnsi="Arial"/>
                <w:sz w:val="18"/>
              </w:rPr>
              <w:t>131,584</w:t>
            </w:r>
          </w:p>
        </w:tc>
        <w:tc>
          <w:tcPr>
            <w:tcW w:type="dxa" w:w="1296"/>
          </w:tcPr>
          <w:p>
            <w:pPr>
              <w:spacing w:before="60" w:after="60"/>
            </w:pPr>
            <w:r>
              <w:rPr>
                <w:rFonts w:ascii="Arial" w:hAnsi="Arial"/>
                <w:sz w:val="18"/>
              </w:rPr>
              <w:t>230,400</w:t>
            </w:r>
          </w:p>
        </w:tc>
        <w:tc>
          <w:tcPr>
            <w:tcW w:type="dxa" w:w="1296"/>
          </w:tcPr>
          <w:p>
            <w:pPr>
              <w:spacing w:before="60" w:after="60"/>
            </w:pPr>
            <w:r>
              <w:rPr>
                <w:rFonts w:ascii="Arial" w:hAnsi="Arial"/>
                <w:sz w:val="18"/>
              </w:rPr>
              <w:t>1,915,930</w:t>
            </w:r>
          </w:p>
        </w:tc>
      </w:tr>
      <w:tr>
        <w:tc>
          <w:tcPr>
            <w:tcW w:type="dxa" w:w="1872"/>
          </w:tcPr>
          <w:p>
            <w:pPr>
              <w:spacing w:before="60" w:after="60"/>
            </w:pPr>
            <w:r>
              <w:rPr>
                <w:rFonts w:ascii="Arial" w:hAnsi="Arial"/>
                <w:sz w:val="18"/>
              </w:rPr>
              <w:t>Bidirectional RNN</w:t>
            </w:r>
          </w:p>
        </w:tc>
        <w:tc>
          <w:tcPr>
            <w:tcW w:type="dxa" w:w="3024"/>
          </w:tcPr>
          <w:p>
            <w:pPr>
              <w:spacing w:before="60" w:after="60"/>
            </w:pPr>
            <w:r>
              <w:rPr>
                <w:rFonts w:ascii="Arial" w:hAnsi="Arial"/>
                <w:sz w:val="18"/>
              </w:rPr>
              <w:t>2 Directions: (d_h/2 = 128 units per dir)</w:t>
            </w:r>
          </w:p>
        </w:tc>
        <w:tc>
          <w:tcPr>
            <w:tcW w:type="dxa" w:w="1296"/>
          </w:tcPr>
          <w:p>
            <w:pPr>
              <w:spacing w:before="60" w:after="60"/>
            </w:pPr>
            <w:r>
              <w:rPr>
                <w:rFonts w:ascii="Arial" w:hAnsi="Arial"/>
                <w:sz w:val="18"/>
              </w:rPr>
              <w:t>66,048</w:t>
            </w:r>
          </w:p>
        </w:tc>
        <w:tc>
          <w:tcPr>
            <w:tcW w:type="dxa" w:w="1296"/>
          </w:tcPr>
          <w:p>
            <w:pPr>
              <w:spacing w:before="60" w:after="60"/>
            </w:pPr>
            <w:r>
              <w:rPr>
                <w:rFonts w:ascii="Arial" w:hAnsi="Arial"/>
                <w:sz w:val="18"/>
              </w:rPr>
              <w:t>98,816</w:t>
            </w:r>
          </w:p>
        </w:tc>
        <w:tc>
          <w:tcPr>
            <w:tcW w:type="dxa" w:w="1296"/>
          </w:tcPr>
          <w:p>
            <w:pPr>
              <w:spacing w:before="60" w:after="60"/>
            </w:pPr>
            <w:r>
              <w:rPr>
                <w:rFonts w:ascii="Arial" w:hAnsi="Arial"/>
                <w:sz w:val="18"/>
              </w:rPr>
              <w:t>164,864</w:t>
            </w:r>
          </w:p>
        </w:tc>
        <w:tc>
          <w:tcPr>
            <w:tcW w:type="dxa" w:w="1296"/>
          </w:tcPr>
          <w:p>
            <w:pPr>
              <w:spacing w:before="60" w:after="60"/>
            </w:pPr>
            <w:r>
              <w:rPr>
                <w:rFonts w:ascii="Arial" w:hAnsi="Arial"/>
                <w:sz w:val="18"/>
              </w:rPr>
              <w:t>1,850,394</w:t>
            </w:r>
          </w:p>
        </w:tc>
      </w:tr>
      <w:tr>
        <w:tc>
          <w:tcPr>
            <w:tcW w:type="dxa" w:w="1872"/>
          </w:tcPr>
          <w:p>
            <w:pPr>
              <w:spacing w:before="60" w:after="60"/>
            </w:pPr>
            <w:r>
              <w:rPr>
                <w:rFonts w:ascii="Arial" w:hAnsi="Arial"/>
                <w:sz w:val="18"/>
              </w:rPr>
              <w:t>GRU</w:t>
            </w:r>
          </w:p>
        </w:tc>
        <w:tc>
          <w:tcPr>
            <w:tcW w:type="dxa" w:w="3024"/>
          </w:tcPr>
          <w:p>
            <w:pPr>
              <w:spacing w:before="60" w:after="60"/>
            </w:pPr>
            <w:r>
              <w:rPr>
                <w:rFonts w:ascii="Arial" w:hAnsi="Arial"/>
                <w:sz w:val="18"/>
              </w:rPr>
              <w:t>3 Gates: Reset (r), Update (z), Candidate (n)</w:t>
            </w:r>
          </w:p>
        </w:tc>
        <w:tc>
          <w:tcPr>
            <w:tcW w:type="dxa" w:w="1296"/>
          </w:tcPr>
          <w:p>
            <w:pPr>
              <w:spacing w:before="60" w:after="60"/>
            </w:pPr>
            <w:r>
              <w:rPr>
                <w:rFonts w:ascii="Arial" w:hAnsi="Arial"/>
                <w:sz w:val="18"/>
              </w:rPr>
              <w:t>296,448</w:t>
            </w:r>
          </w:p>
        </w:tc>
        <w:tc>
          <w:tcPr>
            <w:tcW w:type="dxa" w:w="1296"/>
          </w:tcPr>
          <w:p>
            <w:pPr>
              <w:spacing w:before="60" w:after="60"/>
            </w:pPr>
            <w:r>
              <w:rPr>
                <w:rFonts w:ascii="Arial" w:hAnsi="Arial"/>
                <w:sz w:val="18"/>
              </w:rPr>
              <w:t>394,752</w:t>
            </w:r>
          </w:p>
        </w:tc>
        <w:tc>
          <w:tcPr>
            <w:tcW w:type="dxa" w:w="1296"/>
          </w:tcPr>
          <w:p>
            <w:pPr>
              <w:spacing w:before="60" w:after="60"/>
            </w:pPr>
            <w:r>
              <w:rPr>
                <w:rFonts w:ascii="Arial" w:hAnsi="Arial"/>
                <w:sz w:val="18"/>
              </w:rPr>
              <w:t>691,200</w:t>
            </w:r>
          </w:p>
        </w:tc>
        <w:tc>
          <w:tcPr>
            <w:tcW w:type="dxa" w:w="1296"/>
          </w:tcPr>
          <w:p>
            <w:pPr>
              <w:spacing w:before="60" w:after="60"/>
            </w:pPr>
            <w:r>
              <w:rPr>
                <w:rFonts w:ascii="Arial" w:hAnsi="Arial"/>
                <w:sz w:val="18"/>
              </w:rPr>
              <w:t>2,376,730</w:t>
            </w:r>
          </w:p>
        </w:tc>
      </w:tr>
      <w:tr>
        <w:tc>
          <w:tcPr>
            <w:tcW w:type="dxa" w:w="1872"/>
          </w:tcPr>
          <w:p>
            <w:pPr>
              <w:spacing w:before="60" w:after="60"/>
            </w:pPr>
            <w:r>
              <w:rPr>
                <w:rFonts w:ascii="Arial" w:hAnsi="Arial"/>
                <w:sz w:val="18"/>
              </w:rPr>
              <w:t>LSTM</w:t>
            </w:r>
          </w:p>
        </w:tc>
        <w:tc>
          <w:tcPr>
            <w:tcW w:type="dxa" w:w="3024"/>
          </w:tcPr>
          <w:p>
            <w:pPr>
              <w:spacing w:before="60" w:after="60"/>
            </w:pPr>
            <w:r>
              <w:rPr>
                <w:rFonts w:ascii="Arial" w:hAnsi="Arial"/>
                <w:sz w:val="18"/>
              </w:rPr>
              <w:t>4 Gates: Input (i), Forget (f), Output (o), Cell (g)</w:t>
            </w:r>
          </w:p>
        </w:tc>
        <w:tc>
          <w:tcPr>
            <w:tcW w:type="dxa" w:w="1296"/>
          </w:tcPr>
          <w:p>
            <w:pPr>
              <w:spacing w:before="60" w:after="60"/>
            </w:pPr>
            <w:r>
              <w:rPr>
                <w:rFonts w:ascii="Arial" w:hAnsi="Arial"/>
                <w:sz w:val="18"/>
              </w:rPr>
              <w:t>395,264</w:t>
            </w:r>
          </w:p>
        </w:tc>
        <w:tc>
          <w:tcPr>
            <w:tcW w:type="dxa" w:w="1296"/>
          </w:tcPr>
          <w:p>
            <w:pPr>
              <w:spacing w:before="60" w:after="60"/>
            </w:pPr>
            <w:r>
              <w:rPr>
                <w:rFonts w:ascii="Arial" w:hAnsi="Arial"/>
                <w:sz w:val="18"/>
              </w:rPr>
              <w:t>526,336</w:t>
            </w:r>
          </w:p>
        </w:tc>
        <w:tc>
          <w:tcPr>
            <w:tcW w:type="dxa" w:w="1296"/>
          </w:tcPr>
          <w:p>
            <w:pPr>
              <w:spacing w:before="60" w:after="60"/>
            </w:pPr>
            <w:r>
              <w:rPr>
                <w:rFonts w:ascii="Arial" w:hAnsi="Arial"/>
                <w:sz w:val="18"/>
              </w:rPr>
              <w:t>921,600</w:t>
            </w:r>
          </w:p>
        </w:tc>
        <w:tc>
          <w:tcPr>
            <w:tcW w:type="dxa" w:w="1296"/>
          </w:tcPr>
          <w:p>
            <w:pPr>
              <w:spacing w:before="60" w:after="60"/>
            </w:pPr>
            <w:r>
              <w:rPr>
                <w:rFonts w:ascii="Arial" w:hAnsi="Arial"/>
                <w:sz w:val="18"/>
              </w:rPr>
              <w:t>2,607,130</w:t>
            </w:r>
          </w:p>
        </w:tc>
      </w:tr>
    </w:tbl>
    <w:p>
      <w:pPr>
        <w:spacing w:before="80" w:after="160"/>
      </w:pPr>
      <w:r>
        <w:rPr>
          <w:b/>
        </w:rPr>
        <w:t xml:space="preserve">Capacity Efficiency Insight: </w:t>
      </w:r>
      <w:r>
        <w:t>Although LSTM allocates the highest parameter volume (2,607,130 total parameters; 921,600 recurrent weights), GRU achieves lower test perplexity (129.05 vs. 131.54) with 230,400 fewer recurrent weights (691,200 vs. 921,600). On a corpus of 121,822 tokens, GRU's coupled update-reset formulation prevents over-parameterization while retaining sufficient representational capacity to capture long-range literary dependencies.</w:t>
      </w:r>
    </w:p>
    <w:p>
      <w:pPr>
        <w:pStyle w:val="Heading2"/>
      </w:pPr>
      <w:r>
        <w:rPr>
          <w:rFonts w:ascii="Arial" w:hAnsi="Arial"/>
          <w:b/>
          <w:color w:val="2C3E50"/>
          <w:sz w:val="25"/>
        </w:rPr>
        <w:t>2.3 The Bidirectional Causal Asymmetry Paradox</w:t>
      </w:r>
    </w:p>
    <w:p>
      <w:pPr>
        <w:spacing w:after="80"/>
      </w:pPr>
      <w:r>
        <w:t>A critical theoretical question in language modeling is why Bidirectional RNNs (BiRNN)—despite their established superiority in discriminative NLP tasks (such as named entity recognition and POS tagging)—are fundamentally sub-optimal for causal text generation. Our empirical results confirm this paradox: BiRNN exhibited the worst text quality, collapsing into repetitive loops (25.03% 3-gram repetition at T = 0.2) and converging to a markedly inferior test perplexity of 162.24. This failure stems from three structural asymmetries:</w:t>
      </w:r>
    </w:p>
    <w:p>
      <w:pPr>
        <w:pStyle w:val="ListBullet"/>
        <w:spacing w:before="40" w:after="40"/>
      </w:pPr>
      <w:r>
        <w:rPr>
          <w:b/>
        </w:rPr>
        <w:t xml:space="preserve">Forward Temporal Accumulation: </w:t>
      </w:r>
      <w:r>
        <w:t>The forward recurrent branch computes states h_1^-&gt; through h_L^-&gt; sequentially from token w_1 to w_L. At the final temporal index L, the forward hidden state h_L^-&gt; has legitimately accumulated the full context of all L prompt tokens.</w:t>
      </w:r>
    </w:p>
    <w:p>
      <w:pPr>
        <w:pStyle w:val="ListBullet"/>
        <w:spacing w:before="40" w:after="40"/>
      </w:pPr>
      <w:r>
        <w:rPr>
          <w:b/>
        </w:rPr>
        <w:t xml:space="preserve">The PyTorch Temporal Slicing Flaw: </w:t>
      </w:r>
      <w:r>
        <w:t>In PyTorch's nn.RNN with bidirectional=True, the backward pass computes hidden states h_L^&lt;- down to h_1^&lt;- in reverse time. When standard autoregressive architectures extract the final sequence slice via out[:, -1, :], the tensor concatenates [h_L^-&gt;, h_L^&lt;-]. While h_L^-&gt; contains the entire prompt history, h_L^&lt;- is the initial time-step of the reverse pass—meaning it has observed only token w_L in isolation initialized from an empty zero vector (h_0^&lt;- = 0). The fully contextualized backward state h_1^&lt;- (which observed all tokens) resides at index 0, which is discarded by the -1 temporal slice.</w:t>
      </w:r>
    </w:p>
    <w:p>
      <w:pPr>
        <w:pStyle w:val="ListBullet"/>
        <w:spacing w:before="40" w:after="120"/>
      </w:pPr>
      <w:r>
        <w:rPr>
          <w:b/>
        </w:rPr>
        <w:t xml:space="preserve">Inference Rollout Disconnect: </w:t>
      </w:r>
      <w:r>
        <w:t>During autoregressive text generation, future tokens w_{L+1}, w_{L+2}, ... do not yet exist. The backward recurrence cannot execute over ungenerated tokens, breaking the mathematical symmetry established during bidirectional training. The backward features fed into the projection head degenerate into ungrounded noise, destabilizing the output probability distribution.</w:t>
      </w:r>
    </w:p>
    <w:tbl>
      <w:tblPr>
        <w:tblStyle w:val="TableGrid"/>
        <w:tblW w:type="auto" w:w="0"/>
        <w:jc w:val="center"/>
        <w:tblLook w:firstColumn="1" w:firstRow="1" w:lastColumn="0" w:lastRow="0" w:noHBand="0" w:noVBand="1" w:val="04A0"/>
      </w:tblPr>
      <w:tblGrid>
        <w:gridCol w:w="3360"/>
        <w:gridCol w:w="3360"/>
        <w:gridCol w:w="3360"/>
      </w:tblGrid>
      <w:tr>
        <w:tc>
          <w:tcPr>
            <w:tcW w:type="dxa" w:w="2304"/>
            <w:shd w:fill="1B365D"/>
          </w:tcPr>
          <w:p>
            <w:pPr>
              <w:spacing w:before="60" w:after="60"/>
            </w:pPr>
            <w:r>
              <w:rPr>
                <w:rFonts w:ascii="Arial" w:hAnsi="Arial"/>
                <w:b/>
                <w:color w:val="FFFFFF"/>
                <w:sz w:val="18"/>
              </w:rPr>
              <w:t>Evaluation Dimension</w:t>
            </w:r>
          </w:p>
        </w:tc>
        <w:tc>
          <w:tcPr>
            <w:tcW w:type="dxa" w:w="3888"/>
            <w:shd w:fill="1B365D"/>
          </w:tcPr>
          <w:p>
            <w:pPr>
              <w:spacing w:before="60" w:after="60"/>
            </w:pPr>
            <w:r>
              <w:rPr>
                <w:rFonts w:ascii="Arial" w:hAnsi="Arial"/>
                <w:b/>
                <w:color w:val="FFFFFF"/>
                <w:sz w:val="18"/>
              </w:rPr>
              <w:t>Unidirectional Recurrence (LSTM / GRU / RNN)</w:t>
            </w:r>
          </w:p>
        </w:tc>
        <w:tc>
          <w:tcPr>
            <w:tcW w:type="dxa" w:w="3888"/>
            <w:shd w:fill="1B365D"/>
          </w:tcPr>
          <w:p>
            <w:pPr>
              <w:spacing w:before="60" w:after="60"/>
            </w:pPr>
            <w:r>
              <w:rPr>
                <w:rFonts w:ascii="Arial" w:hAnsi="Arial"/>
                <w:b/>
                <w:color w:val="FFFFFF"/>
                <w:sz w:val="18"/>
              </w:rPr>
              <w:t>Bidirectional Recurrence (BiRNN)</w:t>
            </w:r>
          </w:p>
        </w:tc>
      </w:tr>
      <w:tr>
        <w:tc>
          <w:tcPr>
            <w:tcW w:type="dxa" w:w="2304"/>
          </w:tcPr>
          <w:p>
            <w:pPr>
              <w:spacing w:before="60" w:after="60"/>
            </w:pPr>
            <w:r>
              <w:rPr>
                <w:rFonts w:ascii="Arial" w:hAnsi="Arial"/>
                <w:sz w:val="18"/>
              </w:rPr>
              <w:t>Causal Consistency</w:t>
            </w:r>
          </w:p>
        </w:tc>
        <w:tc>
          <w:tcPr>
            <w:tcW w:type="dxa" w:w="3888"/>
          </w:tcPr>
          <w:p>
            <w:pPr>
              <w:spacing w:before="60" w:after="60"/>
            </w:pPr>
            <w:r>
              <w:rPr>
                <w:rFonts w:ascii="Arial" w:hAnsi="Arial"/>
                <w:sz w:val="18"/>
              </w:rPr>
              <w:t>Strictly causal: P(w_t | w_1, ..., w_{t-1})</w:t>
            </w:r>
          </w:p>
        </w:tc>
        <w:tc>
          <w:tcPr>
            <w:tcW w:type="dxa" w:w="3888"/>
          </w:tcPr>
          <w:p>
            <w:pPr>
              <w:spacing w:before="60" w:after="60"/>
            </w:pPr>
            <w:r>
              <w:rPr>
                <w:rFonts w:ascii="Arial" w:hAnsi="Arial"/>
                <w:sz w:val="18"/>
              </w:rPr>
              <w:t>Non-causal: conditions on future tokens w_{t+1...L}</w:t>
            </w:r>
          </w:p>
        </w:tc>
      </w:tr>
      <w:tr>
        <w:tc>
          <w:tcPr>
            <w:tcW w:type="dxa" w:w="2304"/>
          </w:tcPr>
          <w:p>
            <w:pPr>
              <w:spacing w:before="60" w:after="60"/>
            </w:pPr>
            <w:r>
              <w:rPr>
                <w:rFonts w:ascii="Arial" w:hAnsi="Arial"/>
                <w:sz w:val="18"/>
              </w:rPr>
              <w:t>Temporal Slice (out[:, -1, :])</w:t>
            </w:r>
          </w:p>
        </w:tc>
        <w:tc>
          <w:tcPr>
            <w:tcW w:type="dxa" w:w="3888"/>
          </w:tcPr>
          <w:p>
            <w:pPr>
              <w:spacing w:before="60" w:after="60"/>
            </w:pPr>
            <w:r>
              <w:rPr>
                <w:rFonts w:ascii="Arial" w:hAnsi="Arial"/>
                <w:sz w:val="18"/>
              </w:rPr>
              <w:t>Captures complete contextual history over w_1...w_L</w:t>
            </w:r>
          </w:p>
        </w:tc>
        <w:tc>
          <w:tcPr>
            <w:tcW w:type="dxa" w:w="3888"/>
          </w:tcPr>
          <w:p>
            <w:pPr>
              <w:spacing w:before="60" w:after="60"/>
            </w:pPr>
            <w:r>
              <w:rPr>
                <w:rFonts w:ascii="Arial" w:hAnsi="Arial"/>
                <w:sz w:val="18"/>
              </w:rPr>
              <w:t>Forward: full history; Backward: uninformative initial step</w:t>
            </w:r>
          </w:p>
        </w:tc>
      </w:tr>
      <w:tr>
        <w:tc>
          <w:tcPr>
            <w:tcW w:type="dxa" w:w="2304"/>
          </w:tcPr>
          <w:p>
            <w:pPr>
              <w:spacing w:before="60" w:after="60"/>
            </w:pPr>
            <w:r>
              <w:rPr>
                <w:rFonts w:ascii="Arial" w:hAnsi="Arial"/>
                <w:sz w:val="18"/>
              </w:rPr>
              <w:t>Autoregressive Generation Rollout</w:t>
            </w:r>
          </w:p>
        </w:tc>
        <w:tc>
          <w:tcPr>
            <w:tcW w:type="dxa" w:w="3888"/>
          </w:tcPr>
          <w:p>
            <w:pPr>
              <w:spacing w:before="60" w:after="60"/>
            </w:pPr>
            <w:r>
              <w:rPr>
                <w:rFonts w:ascii="Arial" w:hAnsi="Arial"/>
                <w:sz w:val="18"/>
              </w:rPr>
              <w:t>Mathematically coherent token-by-token rollout</w:t>
            </w:r>
          </w:p>
        </w:tc>
        <w:tc>
          <w:tcPr>
            <w:tcW w:type="dxa" w:w="3888"/>
          </w:tcPr>
          <w:p>
            <w:pPr>
              <w:spacing w:before="60" w:after="60"/>
            </w:pPr>
            <w:r>
              <w:rPr>
                <w:rFonts w:ascii="Arial" w:hAnsi="Arial"/>
                <w:sz w:val="18"/>
              </w:rPr>
              <w:t>Future tokens absent; backward pass operates degenerately</w:t>
            </w:r>
          </w:p>
        </w:tc>
      </w:tr>
      <w:tr>
        <w:tc>
          <w:tcPr>
            <w:tcW w:type="dxa" w:w="2304"/>
          </w:tcPr>
          <w:p>
            <w:pPr>
              <w:spacing w:before="60" w:after="60"/>
            </w:pPr>
            <w:r>
              <w:rPr>
                <w:rFonts w:ascii="Arial" w:hAnsi="Arial"/>
                <w:sz w:val="18"/>
              </w:rPr>
              <w:t>Empirical 3-Gram Repetition (T=0.2)</w:t>
            </w:r>
          </w:p>
        </w:tc>
        <w:tc>
          <w:tcPr>
            <w:tcW w:type="dxa" w:w="3888"/>
          </w:tcPr>
          <w:p>
            <w:pPr>
              <w:spacing w:before="60" w:after="60"/>
            </w:pPr>
            <w:r>
              <w:rPr>
                <w:rFonts w:ascii="Arial" w:hAnsi="Arial"/>
                <w:sz w:val="18"/>
              </w:rPr>
              <w:t>0.00% (GRU) / 0.00% (LSTM) [No degenerate loops]</w:t>
            </w:r>
          </w:p>
        </w:tc>
        <w:tc>
          <w:tcPr>
            <w:tcW w:type="dxa" w:w="3888"/>
          </w:tcPr>
          <w:p>
            <w:pPr>
              <w:spacing w:before="60" w:after="60"/>
            </w:pPr>
            <w:r>
              <w:rPr>
                <w:rFonts w:ascii="Arial" w:hAnsi="Arial"/>
                <w:sz w:val="18"/>
              </w:rPr>
              <w:t>25.03% [Severe Markovian attractor collapse]</w:t>
            </w:r>
          </w:p>
        </w:tc>
      </w:tr>
      <w:tr>
        <w:tc>
          <w:tcPr>
            <w:tcW w:type="dxa" w:w="2304"/>
          </w:tcPr>
          <w:p>
            <w:pPr>
              <w:spacing w:before="60" w:after="60"/>
            </w:pPr>
            <w:r>
              <w:rPr>
                <w:rFonts w:ascii="Arial" w:hAnsi="Arial"/>
                <w:sz w:val="18"/>
              </w:rPr>
              <w:t>Empirical Test Perplexity (PPL)</w:t>
            </w:r>
          </w:p>
        </w:tc>
        <w:tc>
          <w:tcPr>
            <w:tcW w:type="dxa" w:w="3888"/>
          </w:tcPr>
          <w:p>
            <w:pPr>
              <w:spacing w:before="60" w:after="60"/>
            </w:pPr>
            <w:r>
              <w:rPr>
                <w:rFonts w:ascii="Arial" w:hAnsi="Arial"/>
                <w:sz w:val="18"/>
              </w:rPr>
              <w:t>129.05 (GRU) / 131.54 (LSTM) [Optimal]</w:t>
            </w:r>
          </w:p>
        </w:tc>
        <w:tc>
          <w:tcPr>
            <w:tcW w:type="dxa" w:w="3888"/>
          </w:tcPr>
          <w:p>
            <w:pPr>
              <w:spacing w:before="60" w:after="60"/>
            </w:pPr>
            <w:r>
              <w:rPr>
                <w:rFonts w:ascii="Arial" w:hAnsi="Arial"/>
                <w:sz w:val="18"/>
              </w:rPr>
              <w:t>162.24 [Severely sub-optimal token conditioning]</w:t>
            </w:r>
          </w:p>
        </w:tc>
      </w:tr>
    </w:tbl>
    <w:p>
      <w:pPr>
        <w:spacing w:before="80" w:after="160"/>
      </w:pPr>
      <w:r>
        <w:rPr>
          <w:b/>
        </w:rPr>
        <w:t xml:space="preserve">Theoretical Takeaway: </w:t>
      </w:r>
      <w:r>
        <w:t>Bidirectional latent encoding violates the unidirectional arrow of time required for autoregression. While BiRNNs excel in masked sequence understanding, causal text generation necessitates unidirectional architectures (such as GRU or causal transformers) where every conditioning token strictly precedes the predicted token.</w:t>
      </w:r>
    </w:p>
    <w:p/>
    <w:p>
      <w:pPr>
        <w:pStyle w:val="Heading1"/>
      </w:pPr>
      <w:r>
        <w:rPr>
          <w:rFonts w:ascii="Arial" w:hAnsi="Arial"/>
          <w:b/>
          <w:color w:val="1B365D"/>
          <w:sz w:val="30"/>
        </w:rPr>
        <w:t>3. Exploratory Data Analysis (EDA) &amp; Corpus Diagnostics</w:t>
      </w:r>
    </w:p>
    <w:p>
      <w:pPr>
        <w:spacing w:after="120"/>
      </w:pPr>
      <w:r>
        <w:t>A rigorous exploratory data analysis was conducted on The Adventures of Sherlock Holmes to characterize its lexical distribution, information entropy, sentence length dynamics, and vocabulary coverage. These statistical properties directly informed our hyperparameter choices for context sequence length (L = 20) and vocabulary cutoff (V = 4,378).</w:t>
      </w:r>
    </w:p>
    <w:p>
      <w:pPr>
        <w:pStyle w:val="Heading2"/>
      </w:pPr>
      <w:r>
        <w:rPr>
          <w:rFonts w:ascii="Arial" w:hAnsi="Arial"/>
          <w:b/>
          <w:color w:val="2C3E50"/>
          <w:sz w:val="25"/>
        </w:rPr>
        <w:t>3.1 Descriptive Corpus &amp; Information-Theoretic Metrics</w:t>
      </w:r>
    </w:p>
    <w:tbl>
      <w:tblPr>
        <w:tblStyle w:val="TableGrid"/>
        <w:tblW w:type="auto" w:w="0"/>
        <w:jc w:val="center"/>
        <w:tblLook w:firstColumn="1" w:firstRow="1" w:lastColumn="0" w:lastRow="0" w:noHBand="0" w:noVBand="1" w:val="04A0"/>
      </w:tblPr>
      <w:tblGrid>
        <w:gridCol w:w="5040"/>
        <w:gridCol w:w="5040"/>
      </w:tblGrid>
      <w:tr>
        <w:tc>
          <w:tcPr>
            <w:tcW w:type="dxa" w:w="5184"/>
            <w:shd w:fill="1B365D"/>
          </w:tcPr>
          <w:p>
            <w:pPr>
              <w:spacing w:before="60" w:after="60"/>
            </w:pPr>
            <w:r>
              <w:rPr>
                <w:rFonts w:ascii="Arial" w:hAnsi="Arial"/>
                <w:b/>
                <w:color w:val="FFFFFF"/>
                <w:sz w:val="18"/>
              </w:rPr>
              <w:t>Statistical / Information-Theoretic Metric</w:t>
            </w:r>
          </w:p>
        </w:tc>
        <w:tc>
          <w:tcPr>
            <w:tcW w:type="dxa" w:w="4896"/>
            <w:shd w:fill="1B365D"/>
          </w:tcPr>
          <w:p>
            <w:pPr>
              <w:spacing w:before="60" w:after="60"/>
            </w:pPr>
            <w:r>
              <w:rPr>
                <w:rFonts w:ascii="Arial" w:hAnsi="Arial"/>
                <w:b/>
                <w:color w:val="FFFFFF"/>
                <w:sz w:val="18"/>
              </w:rPr>
              <w:t>Empirical Value (Sherlock Holmes Corpus)</w:t>
            </w:r>
          </w:p>
        </w:tc>
      </w:tr>
      <w:tr>
        <w:tc>
          <w:tcPr>
            <w:tcW w:type="dxa" w:w="5184"/>
          </w:tcPr>
          <w:p>
            <w:pPr>
              <w:spacing w:before="60" w:after="60"/>
            </w:pPr>
            <w:r>
              <w:rPr>
                <w:rFonts w:ascii="Arial" w:hAnsi="Arial"/>
                <w:sz w:val="18"/>
              </w:rPr>
              <w:t>Raw Characters</w:t>
            </w:r>
          </w:p>
        </w:tc>
        <w:tc>
          <w:tcPr>
            <w:tcW w:type="dxa" w:w="4896"/>
          </w:tcPr>
          <w:p>
            <w:pPr>
              <w:spacing w:before="60" w:after="60"/>
            </w:pPr>
            <w:r>
              <w:rPr>
                <w:rFonts w:ascii="Arial" w:hAnsi="Arial"/>
                <w:sz w:val="18"/>
              </w:rPr>
              <w:t>593,731</w:t>
            </w:r>
          </w:p>
        </w:tc>
      </w:tr>
      <w:tr>
        <w:tc>
          <w:tcPr>
            <w:tcW w:type="dxa" w:w="5184"/>
          </w:tcPr>
          <w:p>
            <w:pPr>
              <w:spacing w:before="60" w:after="60"/>
            </w:pPr>
            <w:r>
              <w:rPr>
                <w:rFonts w:ascii="Arial" w:hAnsi="Arial"/>
                <w:sz w:val="18"/>
              </w:rPr>
              <w:t>Clean Characters</w:t>
            </w:r>
          </w:p>
        </w:tc>
        <w:tc>
          <w:tcPr>
            <w:tcW w:type="dxa" w:w="4896"/>
          </w:tcPr>
          <w:p>
            <w:pPr>
              <w:spacing w:before="60" w:after="60"/>
            </w:pPr>
            <w:r>
              <w:rPr>
                <w:rFonts w:ascii="Arial" w:hAnsi="Arial"/>
                <w:sz w:val="18"/>
              </w:rPr>
              <w:t>574,143</w:t>
            </w:r>
          </w:p>
        </w:tc>
      </w:tr>
      <w:tr>
        <w:tc>
          <w:tcPr>
            <w:tcW w:type="dxa" w:w="5184"/>
          </w:tcPr>
          <w:p>
            <w:pPr>
              <w:spacing w:before="60" w:after="60"/>
            </w:pPr>
            <w:r>
              <w:rPr>
                <w:rFonts w:ascii="Arial" w:hAnsi="Arial"/>
                <w:sz w:val="18"/>
              </w:rPr>
              <w:t>Total Corpus Tokens</w:t>
            </w:r>
          </w:p>
        </w:tc>
        <w:tc>
          <w:tcPr>
            <w:tcW w:type="dxa" w:w="4896"/>
          </w:tcPr>
          <w:p>
            <w:pPr>
              <w:spacing w:before="60" w:after="60"/>
            </w:pPr>
            <w:r>
              <w:rPr>
                <w:rFonts w:ascii="Arial" w:hAnsi="Arial"/>
                <w:sz w:val="18"/>
              </w:rPr>
              <w:t>121,822</w:t>
            </w:r>
          </w:p>
        </w:tc>
      </w:tr>
      <w:tr>
        <w:tc>
          <w:tcPr>
            <w:tcW w:type="dxa" w:w="5184"/>
          </w:tcPr>
          <w:p>
            <w:pPr>
              <w:spacing w:before="60" w:after="60"/>
            </w:pPr>
            <w:r>
              <w:rPr>
                <w:rFonts w:ascii="Arial" w:hAnsi="Arial"/>
                <w:sz w:val="18"/>
              </w:rPr>
              <w:t>Unique Tokens (Raw Vocabulary)</w:t>
            </w:r>
          </w:p>
        </w:tc>
        <w:tc>
          <w:tcPr>
            <w:tcW w:type="dxa" w:w="4896"/>
          </w:tcPr>
          <w:p>
            <w:pPr>
              <w:spacing w:before="60" w:after="60"/>
            </w:pPr>
            <w:r>
              <w:rPr>
                <w:rFonts w:ascii="Arial" w:hAnsi="Arial"/>
                <w:sz w:val="18"/>
              </w:rPr>
              <w:t>7,826</w:t>
            </w:r>
          </w:p>
        </w:tc>
      </w:tr>
      <w:tr>
        <w:tc>
          <w:tcPr>
            <w:tcW w:type="dxa" w:w="5184"/>
          </w:tcPr>
          <w:p>
            <w:pPr>
              <w:spacing w:before="60" w:after="60"/>
            </w:pPr>
            <w:r>
              <w:rPr>
                <w:rFonts w:ascii="Arial" w:hAnsi="Arial"/>
                <w:sz w:val="18"/>
              </w:rPr>
              <w:t>Effective Model Vocabulary Size</w:t>
            </w:r>
          </w:p>
        </w:tc>
        <w:tc>
          <w:tcPr>
            <w:tcW w:type="dxa" w:w="4896"/>
          </w:tcPr>
          <w:p>
            <w:pPr>
              <w:spacing w:before="60" w:after="60"/>
            </w:pPr>
            <w:r>
              <w:rPr>
                <w:rFonts w:ascii="Arial" w:hAnsi="Arial"/>
                <w:sz w:val="18"/>
              </w:rPr>
              <w:t>4,378</w:t>
            </w:r>
          </w:p>
        </w:tc>
      </w:tr>
      <w:tr>
        <w:tc>
          <w:tcPr>
            <w:tcW w:type="dxa" w:w="5184"/>
          </w:tcPr>
          <w:p>
            <w:pPr>
              <w:spacing w:before="60" w:after="60"/>
            </w:pPr>
            <w:r>
              <w:rPr>
                <w:rFonts w:ascii="Arial" w:hAnsi="Arial"/>
                <w:sz w:val="18"/>
              </w:rPr>
              <w:t>Type-Token Ratio (TTR)</w:t>
            </w:r>
          </w:p>
        </w:tc>
        <w:tc>
          <w:tcPr>
            <w:tcW w:type="dxa" w:w="4896"/>
          </w:tcPr>
          <w:p>
            <w:pPr>
              <w:spacing w:before="60" w:after="60"/>
            </w:pPr>
            <w:r>
              <w:rPr>
                <w:rFonts w:ascii="Arial" w:hAnsi="Arial"/>
                <w:sz w:val="18"/>
              </w:rPr>
              <w:t>0.0642</w:t>
            </w:r>
          </w:p>
        </w:tc>
      </w:tr>
      <w:tr>
        <w:tc>
          <w:tcPr>
            <w:tcW w:type="dxa" w:w="5184"/>
          </w:tcPr>
          <w:p>
            <w:pPr>
              <w:spacing w:before="60" w:after="60"/>
            </w:pPr>
            <w:r>
              <w:rPr>
                <w:rFonts w:ascii="Arial" w:hAnsi="Arial"/>
                <w:sz w:val="18"/>
              </w:rPr>
              <w:t>Guiraud's Index (Root TTR)</w:t>
            </w:r>
          </w:p>
        </w:tc>
        <w:tc>
          <w:tcPr>
            <w:tcW w:type="dxa" w:w="4896"/>
          </w:tcPr>
          <w:p>
            <w:pPr>
              <w:spacing w:before="60" w:after="60"/>
            </w:pPr>
            <w:r>
              <w:rPr>
                <w:rFonts w:ascii="Arial" w:hAnsi="Arial"/>
                <w:sz w:val="18"/>
              </w:rPr>
              <w:t>22.42</w:t>
            </w:r>
          </w:p>
        </w:tc>
      </w:tr>
      <w:tr>
        <w:tc>
          <w:tcPr>
            <w:tcW w:type="dxa" w:w="5184"/>
          </w:tcPr>
          <w:p>
            <w:pPr>
              <w:spacing w:before="60" w:after="60"/>
            </w:pPr>
            <w:r>
              <w:rPr>
                <w:rFonts w:ascii="Arial" w:hAnsi="Arial"/>
                <w:sz w:val="18"/>
              </w:rPr>
              <w:t>Hapax Legomena Count (freq = 1)</w:t>
            </w:r>
          </w:p>
        </w:tc>
        <w:tc>
          <w:tcPr>
            <w:tcW w:type="dxa" w:w="4896"/>
          </w:tcPr>
          <w:p>
            <w:pPr>
              <w:spacing w:before="60" w:after="60"/>
            </w:pPr>
            <w:r>
              <w:rPr>
                <w:rFonts w:ascii="Arial" w:hAnsi="Arial"/>
                <w:sz w:val="18"/>
              </w:rPr>
              <w:t>3,452 (44.11%)</w:t>
            </w:r>
          </w:p>
        </w:tc>
      </w:tr>
      <w:tr>
        <w:tc>
          <w:tcPr>
            <w:tcW w:type="dxa" w:w="5184"/>
          </w:tcPr>
          <w:p>
            <w:pPr>
              <w:spacing w:before="60" w:after="60"/>
            </w:pPr>
            <w:r>
              <w:rPr>
                <w:rFonts w:ascii="Arial" w:hAnsi="Arial"/>
                <w:sz w:val="18"/>
              </w:rPr>
              <w:t>Dis Legomena Count (freq = 2)</w:t>
            </w:r>
          </w:p>
        </w:tc>
        <w:tc>
          <w:tcPr>
            <w:tcW w:type="dxa" w:w="4896"/>
          </w:tcPr>
          <w:p>
            <w:pPr>
              <w:spacing w:before="60" w:after="60"/>
            </w:pPr>
            <w:r>
              <w:rPr>
                <w:rFonts w:ascii="Arial" w:hAnsi="Arial"/>
                <w:sz w:val="18"/>
              </w:rPr>
              <w:t>1,247 (15.93%)</w:t>
            </w:r>
          </w:p>
        </w:tc>
      </w:tr>
      <w:tr>
        <w:tc>
          <w:tcPr>
            <w:tcW w:type="dxa" w:w="5184"/>
          </w:tcPr>
          <w:p>
            <w:pPr>
              <w:spacing w:before="60" w:after="60"/>
            </w:pPr>
            <w:r>
              <w:rPr>
                <w:rFonts w:ascii="Arial" w:hAnsi="Arial"/>
                <w:sz w:val="18"/>
              </w:rPr>
              <w:t>Unigram Shannon Entropy</w:t>
            </w:r>
          </w:p>
        </w:tc>
        <w:tc>
          <w:tcPr>
            <w:tcW w:type="dxa" w:w="4896"/>
          </w:tcPr>
          <w:p>
            <w:pPr>
              <w:spacing w:before="60" w:after="60"/>
            </w:pPr>
            <w:r>
              <w:rPr>
                <w:rFonts w:ascii="Arial" w:hAnsi="Arial"/>
                <w:sz w:val="18"/>
              </w:rPr>
              <w:t>8.7852 bits/token</w:t>
            </w:r>
          </w:p>
        </w:tc>
      </w:tr>
      <w:tr>
        <w:tc>
          <w:tcPr>
            <w:tcW w:type="dxa" w:w="5184"/>
          </w:tcPr>
          <w:p>
            <w:pPr>
              <w:spacing w:before="60" w:after="60"/>
            </w:pPr>
            <w:r>
              <w:rPr>
                <w:rFonts w:ascii="Arial" w:hAnsi="Arial"/>
                <w:sz w:val="18"/>
              </w:rPr>
              <w:t>Theoretical Zeroth-Order Perplexity</w:t>
            </w:r>
          </w:p>
        </w:tc>
        <w:tc>
          <w:tcPr>
            <w:tcW w:type="dxa" w:w="4896"/>
          </w:tcPr>
          <w:p>
            <w:pPr>
              <w:spacing w:before="60" w:after="60"/>
            </w:pPr>
            <w:r>
              <w:rPr>
                <w:rFonts w:ascii="Arial" w:hAnsi="Arial"/>
                <w:sz w:val="18"/>
              </w:rPr>
              <w:t>441.17</w:t>
            </w:r>
          </w:p>
        </w:tc>
      </w:tr>
      <w:tr>
        <w:tc>
          <w:tcPr>
            <w:tcW w:type="dxa" w:w="5184"/>
          </w:tcPr>
          <w:p>
            <w:pPr>
              <w:spacing w:before="60" w:after="60"/>
            </w:pPr>
            <w:r>
              <w:rPr>
                <w:rFonts w:ascii="Arial" w:hAnsi="Arial"/>
                <w:sz w:val="18"/>
              </w:rPr>
              <w:t>Empirical Zipf Exponent (alpha)</w:t>
            </w:r>
          </w:p>
        </w:tc>
        <w:tc>
          <w:tcPr>
            <w:tcW w:type="dxa" w:w="4896"/>
          </w:tcPr>
          <w:p>
            <w:pPr>
              <w:spacing w:before="60" w:after="60"/>
            </w:pPr>
            <w:r>
              <w:rPr>
                <w:rFonts w:ascii="Arial" w:hAnsi="Arial"/>
                <w:sz w:val="18"/>
              </w:rPr>
              <w:t>1.1161</w:t>
            </w:r>
          </w:p>
        </w:tc>
      </w:tr>
      <w:tr>
        <w:tc>
          <w:tcPr>
            <w:tcW w:type="dxa" w:w="5184"/>
          </w:tcPr>
          <w:p>
            <w:pPr>
              <w:spacing w:before="60" w:after="60"/>
            </w:pPr>
            <w:r>
              <w:rPr>
                <w:rFonts w:ascii="Arial" w:hAnsi="Arial"/>
                <w:sz w:val="18"/>
              </w:rPr>
              <w:t>Zipf Power Law Fit R^2</w:t>
            </w:r>
          </w:p>
        </w:tc>
        <w:tc>
          <w:tcPr>
            <w:tcW w:type="dxa" w:w="4896"/>
          </w:tcPr>
          <w:p>
            <w:pPr>
              <w:spacing w:before="60" w:after="60"/>
            </w:pPr>
            <w:r>
              <w:rPr>
                <w:rFonts w:ascii="Arial" w:hAnsi="Arial"/>
                <w:sz w:val="18"/>
              </w:rPr>
              <w:t>0.9966</w:t>
            </w:r>
          </w:p>
        </w:tc>
      </w:tr>
      <w:tr>
        <w:tc>
          <w:tcPr>
            <w:tcW w:type="dxa" w:w="5184"/>
          </w:tcPr>
          <w:p>
            <w:pPr>
              <w:spacing w:before="60" w:after="60"/>
            </w:pPr>
            <w:r>
              <w:rPr>
                <w:rFonts w:ascii="Arial" w:hAnsi="Arial"/>
                <w:sz w:val="18"/>
              </w:rPr>
              <w:t>Top 50% Token Coverage Threshold</w:t>
            </w:r>
          </w:p>
        </w:tc>
        <w:tc>
          <w:tcPr>
            <w:tcW w:type="dxa" w:w="4896"/>
          </w:tcPr>
          <w:p>
            <w:pPr>
              <w:spacing w:before="60" w:after="60"/>
            </w:pPr>
            <w:r>
              <w:rPr>
                <w:rFonts w:ascii="Arial" w:hAnsi="Arial"/>
                <w:sz w:val="18"/>
              </w:rPr>
              <w:t>Top 40 words</w:t>
            </w:r>
          </w:p>
        </w:tc>
      </w:tr>
      <w:tr>
        <w:tc>
          <w:tcPr>
            <w:tcW w:type="dxa" w:w="5184"/>
          </w:tcPr>
          <w:p>
            <w:pPr>
              <w:spacing w:before="60" w:after="60"/>
            </w:pPr>
            <w:r>
              <w:rPr>
                <w:rFonts w:ascii="Arial" w:hAnsi="Arial"/>
                <w:sz w:val="18"/>
              </w:rPr>
              <w:t>Top 80% Token Coverage Threshold</w:t>
            </w:r>
          </w:p>
        </w:tc>
        <w:tc>
          <w:tcPr>
            <w:tcW w:type="dxa" w:w="4896"/>
          </w:tcPr>
          <w:p>
            <w:pPr>
              <w:spacing w:before="60" w:after="60"/>
            </w:pPr>
            <w:r>
              <w:rPr>
                <w:rFonts w:ascii="Arial" w:hAnsi="Arial"/>
                <w:sz w:val="18"/>
              </w:rPr>
              <w:t>Top 517 words</w:t>
            </w:r>
          </w:p>
        </w:tc>
      </w:tr>
      <w:tr>
        <w:tc>
          <w:tcPr>
            <w:tcW w:type="dxa" w:w="5184"/>
          </w:tcPr>
          <w:p>
            <w:pPr>
              <w:spacing w:before="60" w:after="60"/>
            </w:pPr>
            <w:r>
              <w:rPr>
                <w:rFonts w:ascii="Arial" w:hAnsi="Arial"/>
                <w:sz w:val="18"/>
              </w:rPr>
              <w:t>Top 95% Token Coverage Threshold</w:t>
            </w:r>
          </w:p>
        </w:tc>
        <w:tc>
          <w:tcPr>
            <w:tcW w:type="dxa" w:w="4896"/>
          </w:tcPr>
          <w:p>
            <w:pPr>
              <w:spacing w:before="60" w:after="60"/>
            </w:pPr>
            <w:r>
              <w:rPr>
                <w:rFonts w:ascii="Arial" w:hAnsi="Arial"/>
                <w:sz w:val="18"/>
              </w:rPr>
              <w:t>Top 3079 words</w:t>
            </w:r>
          </w:p>
        </w:tc>
      </w:tr>
      <w:tr>
        <w:tc>
          <w:tcPr>
            <w:tcW w:type="dxa" w:w="5184"/>
          </w:tcPr>
          <w:p>
            <w:pPr>
              <w:spacing w:before="60" w:after="60"/>
            </w:pPr>
            <w:r>
              <w:rPr>
                <w:rFonts w:ascii="Arial" w:hAnsi="Arial"/>
                <w:sz w:val="18"/>
              </w:rPr>
              <w:t>Total Sentences Extracted</w:t>
            </w:r>
          </w:p>
        </w:tc>
        <w:tc>
          <w:tcPr>
            <w:tcW w:type="dxa" w:w="4896"/>
          </w:tcPr>
          <w:p>
            <w:pPr>
              <w:spacing w:before="60" w:after="60"/>
            </w:pPr>
            <w:r>
              <w:rPr>
                <w:rFonts w:ascii="Arial" w:hAnsi="Arial"/>
                <w:sz w:val="18"/>
              </w:rPr>
              <w:t>5,144</w:t>
            </w:r>
          </w:p>
        </w:tc>
      </w:tr>
      <w:tr>
        <w:tc>
          <w:tcPr>
            <w:tcW w:type="dxa" w:w="5184"/>
          </w:tcPr>
          <w:p>
            <w:pPr>
              <w:spacing w:before="60" w:after="60"/>
            </w:pPr>
            <w:r>
              <w:rPr>
                <w:rFonts w:ascii="Arial" w:hAnsi="Arial"/>
                <w:sz w:val="18"/>
              </w:rPr>
              <w:t>Mean Sentence Length</w:t>
            </w:r>
          </w:p>
        </w:tc>
        <w:tc>
          <w:tcPr>
            <w:tcW w:type="dxa" w:w="4896"/>
          </w:tcPr>
          <w:p>
            <w:pPr>
              <w:spacing w:before="60" w:after="60"/>
            </w:pPr>
            <w:r>
              <w:rPr>
                <w:rFonts w:ascii="Arial" w:hAnsi="Arial"/>
                <w:sz w:val="18"/>
              </w:rPr>
              <w:t>20.41 ± 15.22 words</w:t>
            </w:r>
          </w:p>
        </w:tc>
      </w:tr>
      <w:tr>
        <w:tc>
          <w:tcPr>
            <w:tcW w:type="dxa" w:w="5184"/>
          </w:tcPr>
          <w:p>
            <w:pPr>
              <w:spacing w:before="60" w:after="60"/>
            </w:pPr>
            <w:r>
              <w:rPr>
                <w:rFonts w:ascii="Arial" w:hAnsi="Arial"/>
                <w:sz w:val="18"/>
              </w:rPr>
              <w:t>Median Sentence Length</w:t>
            </w:r>
          </w:p>
        </w:tc>
        <w:tc>
          <w:tcPr>
            <w:tcW w:type="dxa" w:w="4896"/>
          </w:tcPr>
          <w:p>
            <w:pPr>
              <w:spacing w:before="60" w:after="60"/>
            </w:pPr>
            <w:r>
              <w:rPr>
                <w:rFonts w:ascii="Arial" w:hAnsi="Arial"/>
                <w:sz w:val="18"/>
              </w:rPr>
              <w:t>17.0 words</w:t>
            </w:r>
          </w:p>
        </w:tc>
      </w:tr>
      <w:tr>
        <w:tc>
          <w:tcPr>
            <w:tcW w:type="dxa" w:w="5184"/>
          </w:tcPr>
          <w:p>
            <w:pPr>
              <w:spacing w:before="60" w:after="60"/>
            </w:pPr>
            <w:r>
              <w:rPr>
                <w:rFonts w:ascii="Arial" w:hAnsi="Arial"/>
                <w:sz w:val="18"/>
              </w:rPr>
              <w:t>IQR Sentence Length</w:t>
            </w:r>
          </w:p>
        </w:tc>
        <w:tc>
          <w:tcPr>
            <w:tcW w:type="dxa" w:w="4896"/>
          </w:tcPr>
          <w:p>
            <w:pPr>
              <w:spacing w:before="60" w:after="60"/>
            </w:pPr>
            <w:r>
              <w:rPr>
                <w:rFonts w:ascii="Arial" w:hAnsi="Arial"/>
                <w:sz w:val="18"/>
              </w:rPr>
              <w:t>[9.0, 28.0] words</w:t>
            </w:r>
          </w:p>
        </w:tc>
      </w:tr>
      <w:tr>
        <w:tc>
          <w:tcPr>
            <w:tcW w:type="dxa" w:w="5184"/>
          </w:tcPr>
          <w:p>
            <w:pPr>
              <w:spacing w:before="60" w:after="60"/>
            </w:pPr>
            <w:r>
              <w:rPr>
                <w:rFonts w:ascii="Arial" w:hAnsi="Arial"/>
                <w:sz w:val="18"/>
              </w:rPr>
              <w:t>95th Percentile Sentence Length</w:t>
            </w:r>
          </w:p>
        </w:tc>
        <w:tc>
          <w:tcPr>
            <w:tcW w:type="dxa" w:w="4896"/>
          </w:tcPr>
          <w:p>
            <w:pPr>
              <w:spacing w:before="60" w:after="60"/>
            </w:pPr>
            <w:r>
              <w:rPr>
                <w:rFonts w:ascii="Arial" w:hAnsi="Arial"/>
                <w:sz w:val="18"/>
              </w:rPr>
              <w:t>48.0 words</w:t>
            </w:r>
          </w:p>
        </w:tc>
      </w:tr>
    </w:tbl>
    <w:p>
      <w:pPr>
        <w:spacing w:before="120"/>
      </w:pPr>
      <w:r>
        <w:t>Information-Theoretic Compression: The empirical Shannon unigram entropy of the corpus is H = 8.7852 bits/token. This yields a theoretical zeroth-order perplexity lower bound of 2^H = 441.17 for any static unigram model. Our trained GRU achieves a test perplexity of 129.05, representing a 3.42x information compression over the unigram baseline and a 33.9x reduction over the uniform random vocabulary baseline (PPL = 4,378).</w:t>
      </w:r>
    </w:p>
    <w:p>
      <w:pPr>
        <w:pStyle w:val="Heading2"/>
      </w:pPr>
      <w:r>
        <w:rPr>
          <w:rFonts w:ascii="Arial" w:hAnsi="Arial"/>
          <w:b/>
          <w:color w:val="2C3E50"/>
          <w:sz w:val="25"/>
        </w:rPr>
        <w:t>3.2 Sentence Length Distribution &amp; Sequence Window Justification</w:t>
      </w:r>
    </w:p>
    <w:p>
      <w:r>
        <w:t>The corpus contains 5,144 sentences with a mean length of 20.41 words and a median of 17.0 words (IQR: [9.0, 28.0] words). The distribution is moderately right-skewed, characteristic of Victorian prose with subordinate clauses. Our choice of context sequence length L = 20 spans approximately 60% of all complete sentences in the text, ensuring that the recurrent hidden states capture complete clausal dependencies without exceeding the vanishing-gradient retention horizon of recurrent cells.</w:t>
      </w:r>
    </w:p>
    <w:p>
      <w:pPr>
        <w:spacing w:before="160" w:after="40"/>
        <w:jc w:val="center"/>
      </w:pPr>
      <w:r>
        <w:drawing>
          <wp:inline xmlns:a="http://schemas.openxmlformats.org/drawingml/2006/main" xmlns:pic="http://schemas.openxmlformats.org/drawingml/2006/picture">
            <wp:extent cx="5303520" cy="2921010"/>
            <wp:docPr id="2" name="Picture 2"/>
            <wp:cNvGraphicFramePr>
              <a:graphicFrameLocks noChangeAspect="1"/>
            </wp:cNvGraphicFramePr>
            <a:graphic>
              <a:graphicData uri="http://schemas.openxmlformats.org/drawingml/2006/picture">
                <pic:pic>
                  <pic:nvPicPr>
                    <pic:cNvPr id="0" name="eda_sentence_lengths.png"/>
                    <pic:cNvPicPr/>
                  </pic:nvPicPr>
                  <pic:blipFill>
                    <a:blip r:embed="rId10"/>
                    <a:stretch>
                      <a:fillRect/>
                    </a:stretch>
                  </pic:blipFill>
                  <pic:spPr>
                    <a:xfrm>
                      <a:off x="0" y="0"/>
                      <a:ext cx="5303520" cy="2921010"/>
                    </a:xfrm>
                    <a:prstGeom prst="rect"/>
                  </pic:spPr>
                </pic:pic>
              </a:graphicData>
            </a:graphic>
          </wp:inline>
        </w:drawing>
      </w:r>
    </w:p>
    <w:p>
      <w:pPr>
        <w:spacing w:after="200"/>
        <w:jc w:val="center"/>
      </w:pPr>
      <w:r>
        <w:rPr>
          <w:rFonts w:ascii="Arial" w:hAnsi="Arial"/>
          <w:i/>
          <w:color w:val="555555"/>
          <w:sz w:val="17"/>
        </w:rPr>
        <w:t>Figure 2: Empirical sentence length probability density distribution with mean (20.41 words), median (17.0 words), and 95th percentile markers.</w:t>
      </w:r>
    </w:p>
    <w:p>
      <w:pPr>
        <w:pStyle w:val="Heading2"/>
      </w:pPr>
      <w:r>
        <w:rPr>
          <w:rFonts w:ascii="Arial" w:hAnsi="Arial"/>
          <w:b/>
          <w:color w:val="2C3E50"/>
          <w:sz w:val="25"/>
        </w:rPr>
        <w:t>3.3 Empirical Zipf's Law Power-Law Verification</w:t>
      </w:r>
    </w:p>
    <w:p>
      <w:r>
        <w:t>Zipf's Law states that the occurrence frequency f(r) of a word is inversely proportional to its frequency rank r: f(r) = C / r^alpha, which linearizes in logarithmic coordinates as log10(f(r)) = log10(C) - alpha * log10(r). Ordinary least squares (OLS) regression over the top 1,000 token ranks yields an empirical exponent of alpha = 1.1161 with a coefficient of determination R^2 = 0.9966. This strong adherence confirms that the vocabulary follows standard natural language distributional power laws, where a small set of grammatical function words dominates the token stream while a vast tail of content words occurs rarely.</w:t>
      </w:r>
    </w:p>
    <w:p>
      <w:pPr>
        <w:spacing w:before="160" w:after="40"/>
        <w:jc w:val="center"/>
      </w:pPr>
      <w:r>
        <w:drawing>
          <wp:inline xmlns:a="http://schemas.openxmlformats.org/drawingml/2006/main" xmlns:pic="http://schemas.openxmlformats.org/drawingml/2006/picture">
            <wp:extent cx="5303520" cy="3215880"/>
            <wp:docPr id="3" name="Picture 3"/>
            <wp:cNvGraphicFramePr>
              <a:graphicFrameLocks noChangeAspect="1"/>
            </wp:cNvGraphicFramePr>
            <a:graphic>
              <a:graphicData uri="http://schemas.openxmlformats.org/drawingml/2006/picture">
                <pic:pic>
                  <pic:nvPicPr>
                    <pic:cNvPr id="0" name="eda_zipf_law.png"/>
                    <pic:cNvPicPr/>
                  </pic:nvPicPr>
                  <pic:blipFill>
                    <a:blip r:embed="rId11"/>
                    <a:stretch>
                      <a:fillRect/>
                    </a:stretch>
                  </pic:blipFill>
                  <pic:spPr>
                    <a:xfrm>
                      <a:off x="0" y="0"/>
                      <a:ext cx="5303520" cy="3215880"/>
                    </a:xfrm>
                    <a:prstGeom prst="rect"/>
                  </pic:spPr>
                </pic:pic>
              </a:graphicData>
            </a:graphic>
          </wp:inline>
        </w:drawing>
      </w:r>
    </w:p>
    <w:p>
      <w:pPr>
        <w:spacing w:after="200"/>
        <w:jc w:val="center"/>
      </w:pPr>
      <w:r>
        <w:rPr>
          <w:rFonts w:ascii="Arial" w:hAnsi="Arial"/>
          <w:i/>
          <w:color w:val="555555"/>
          <w:sz w:val="17"/>
        </w:rPr>
        <w:t>Figure 3: Empirical rank-frequency Zipfian distribution on log-log coordinates compared against the theoretical power-law fit (alpha = 1.1161, R^2 = 0.9966).</w:t>
      </w:r>
    </w:p>
    <w:p>
      <w:pPr>
        <w:pStyle w:val="Heading2"/>
      </w:pPr>
      <w:r>
        <w:rPr>
          <w:rFonts w:ascii="Arial" w:hAnsi="Arial"/>
          <w:b/>
          <w:color w:val="2C3E50"/>
          <w:sz w:val="25"/>
        </w:rPr>
        <w:t>3.4 Cumulative Lexical Coverage &amp; Out-of-Vocabulary Analysis</w:t>
      </w:r>
    </w:p>
    <w:p>
      <w:r>
        <w:t>An analysis of cumulative token coverage reveals steep initial concentration: the top 40 words alone account for 50.0% of all tokens in the corpus, while the top 517 words account for 80.0% (Pareto threshold). Setting the minimum word frequency threshold to min_freq &gt;= 2 yields an effective vocabulary size of V = 4,378 distinct tokens. This active vocabulary covers over 97.4% of all running tokens in the corpus, restricting the out-of-vocabulary (&lt;UNK&gt;) rate to just 2.6%. This strikes an optimal trade-off between vocabulary expressiveness and softmax projection computational cost.</w:t>
      </w:r>
    </w:p>
    <w:p>
      <w:pPr>
        <w:spacing w:before="160" w:after="40"/>
        <w:jc w:val="center"/>
      </w:pPr>
      <w:r>
        <w:drawing>
          <wp:inline xmlns:a="http://schemas.openxmlformats.org/drawingml/2006/main" xmlns:pic="http://schemas.openxmlformats.org/drawingml/2006/picture">
            <wp:extent cx="5303520" cy="2910106"/>
            <wp:docPr id="4" name="Picture 4"/>
            <wp:cNvGraphicFramePr>
              <a:graphicFrameLocks noChangeAspect="1"/>
            </wp:cNvGraphicFramePr>
            <a:graphic>
              <a:graphicData uri="http://schemas.openxmlformats.org/drawingml/2006/picture">
                <pic:pic>
                  <pic:nvPicPr>
                    <pic:cNvPr id="0" name="eda_token_coverage.png"/>
                    <pic:cNvPicPr/>
                  </pic:nvPicPr>
                  <pic:blipFill>
                    <a:blip r:embed="rId12"/>
                    <a:stretch>
                      <a:fillRect/>
                    </a:stretch>
                  </pic:blipFill>
                  <pic:spPr>
                    <a:xfrm>
                      <a:off x="0" y="0"/>
                      <a:ext cx="5303520" cy="2910106"/>
                    </a:xfrm>
                    <a:prstGeom prst="rect"/>
                  </pic:spPr>
                </pic:pic>
              </a:graphicData>
            </a:graphic>
          </wp:inline>
        </w:drawing>
      </w:r>
    </w:p>
    <w:p>
      <w:pPr>
        <w:spacing w:after="200"/>
        <w:jc w:val="center"/>
      </w:pPr>
      <w:r>
        <w:rPr>
          <w:rFonts w:ascii="Arial" w:hAnsi="Arial"/>
          <w:i/>
          <w:color w:val="555555"/>
          <w:sz w:val="17"/>
        </w:rPr>
        <w:t>Figure 4: Cumulative lexical coverage curve versus vocabulary rank, highlighting the 50%, 80%, and 95% coverage thresholds and the active vocabulary cutoff.</w:t>
      </w:r>
    </w:p>
    <w:p>
      <w:pPr>
        <w:pStyle w:val="Heading2"/>
      </w:pPr>
      <w:r>
        <w:rPr>
          <w:rFonts w:ascii="Arial" w:hAnsi="Arial"/>
          <w:b/>
          <w:color w:val="2C3E50"/>
          <w:sz w:val="25"/>
        </w:rPr>
        <w:t>3.5 Frequent Collocations &amp; N-Gram Profiles</w:t>
      </w:r>
    </w:p>
    <w:p>
      <w:r>
        <w:t>N-gram frequency analysis highlights the predominant syntactic collocations in Conan Doyle's prose. Excluding isolated punctuation, the most frequent bigrams represent prepositional phrases ('of the', 'in the', 'to the', 'at the') and first-person narrative framing ('it is', 'i have', 'it was', 'that i'). These collocations serve as primary qualitative benchmarks when inspecting model-generated sequences.</w:t>
      </w:r>
    </w:p>
    <w:p>
      <w:pPr>
        <w:spacing w:before="160" w:after="40"/>
        <w:jc w:val="center"/>
      </w:pPr>
      <w:r>
        <w:drawing>
          <wp:inline xmlns:a="http://schemas.openxmlformats.org/drawingml/2006/main" xmlns:pic="http://schemas.openxmlformats.org/drawingml/2006/picture">
            <wp:extent cx="5486400" cy="2340601"/>
            <wp:docPr id="5" name="Picture 5"/>
            <wp:cNvGraphicFramePr>
              <a:graphicFrameLocks noChangeAspect="1"/>
            </wp:cNvGraphicFramePr>
            <a:graphic>
              <a:graphicData uri="http://schemas.openxmlformats.org/drawingml/2006/picture">
                <pic:pic>
                  <pic:nvPicPr>
                    <pic:cNvPr id="0" name="eda_top_ngrams.png"/>
                    <pic:cNvPicPr/>
                  </pic:nvPicPr>
                  <pic:blipFill>
                    <a:blip r:embed="rId13"/>
                    <a:stretch>
                      <a:fillRect/>
                    </a:stretch>
                  </pic:blipFill>
                  <pic:spPr>
                    <a:xfrm>
                      <a:off x="0" y="0"/>
                      <a:ext cx="5486400" cy="2340601"/>
                    </a:xfrm>
                    <a:prstGeom prst="rect"/>
                  </pic:spPr>
                </pic:pic>
              </a:graphicData>
            </a:graphic>
          </wp:inline>
        </w:drawing>
      </w:r>
    </w:p>
    <w:p>
      <w:pPr>
        <w:spacing w:after="200"/>
        <w:jc w:val="center"/>
      </w:pPr>
      <w:r>
        <w:rPr>
          <w:rFonts w:ascii="Arial" w:hAnsi="Arial"/>
          <w:i/>
          <w:color w:val="555555"/>
          <w:sz w:val="17"/>
        </w:rPr>
        <w:t>Figure 5: High-frequency lexical profiles for Top 12 Unigram word tokens (Panel A) and Top 12 Bigram collocations (Panel B).</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864"/>
            <w:shd w:fill="1B365D"/>
          </w:tcPr>
          <w:p>
            <w:pPr>
              <w:spacing w:before="60" w:after="60"/>
            </w:pPr>
            <w:r>
              <w:rPr>
                <w:rFonts w:ascii="Arial" w:hAnsi="Arial"/>
                <w:b/>
                <w:color w:val="FFFFFF"/>
                <w:sz w:val="18"/>
              </w:rPr>
              <w:t>Rank</w:t>
            </w:r>
          </w:p>
        </w:tc>
        <w:tc>
          <w:tcPr>
            <w:tcW w:type="dxa" w:w="1584"/>
            <w:shd w:fill="1B365D"/>
          </w:tcPr>
          <w:p>
            <w:pPr>
              <w:spacing w:before="60" w:after="60"/>
            </w:pPr>
            <w:r>
              <w:rPr>
                <w:rFonts w:ascii="Arial" w:hAnsi="Arial"/>
                <w:b/>
                <w:color w:val="FFFFFF"/>
                <w:sz w:val="18"/>
              </w:rPr>
              <w:t>Unigram</w:t>
            </w:r>
          </w:p>
        </w:tc>
        <w:tc>
          <w:tcPr>
            <w:tcW w:type="dxa" w:w="1296"/>
            <w:shd w:fill="1B365D"/>
          </w:tcPr>
          <w:p>
            <w:pPr>
              <w:spacing w:before="60" w:after="60"/>
            </w:pPr>
            <w:r>
              <w:rPr>
                <w:rFonts w:ascii="Arial" w:hAnsi="Arial"/>
                <w:b/>
                <w:color w:val="FFFFFF"/>
                <w:sz w:val="18"/>
              </w:rPr>
              <w:t>Count</w:t>
            </w:r>
          </w:p>
        </w:tc>
        <w:tc>
          <w:tcPr>
            <w:tcW w:type="dxa" w:w="1584"/>
            <w:shd w:fill="1B365D"/>
          </w:tcPr>
          <w:p>
            <w:pPr>
              <w:spacing w:before="60" w:after="60"/>
            </w:pPr>
            <w:r>
              <w:rPr>
                <w:rFonts w:ascii="Arial" w:hAnsi="Arial"/>
                <w:b/>
                <w:color w:val="FFFFFF"/>
                <w:sz w:val="18"/>
              </w:rPr>
              <w:t>Unigram %</w:t>
            </w:r>
          </w:p>
        </w:tc>
        <w:tc>
          <w:tcPr>
            <w:tcW w:type="dxa" w:w="1872"/>
            <w:shd w:fill="1B365D"/>
          </w:tcPr>
          <w:p>
            <w:pPr>
              <w:spacing w:before="60" w:after="60"/>
            </w:pPr>
            <w:r>
              <w:rPr>
                <w:rFonts w:ascii="Arial" w:hAnsi="Arial"/>
                <w:b/>
                <w:color w:val="FFFFFF"/>
                <w:sz w:val="18"/>
              </w:rPr>
              <w:t>Bigram</w:t>
            </w:r>
          </w:p>
        </w:tc>
        <w:tc>
          <w:tcPr>
            <w:tcW w:type="dxa" w:w="1296"/>
            <w:shd w:fill="1B365D"/>
          </w:tcPr>
          <w:p>
            <w:pPr>
              <w:spacing w:before="60" w:after="60"/>
            </w:pPr>
            <w:r>
              <w:rPr>
                <w:rFonts w:ascii="Arial" w:hAnsi="Arial"/>
                <w:b/>
                <w:color w:val="FFFFFF"/>
                <w:sz w:val="18"/>
              </w:rPr>
              <w:t>Count</w:t>
            </w:r>
          </w:p>
        </w:tc>
        <w:tc>
          <w:tcPr>
            <w:tcW w:type="dxa" w:w="1584"/>
            <w:shd w:fill="1B365D"/>
          </w:tcPr>
          <w:p>
            <w:pPr>
              <w:spacing w:before="60" w:after="60"/>
            </w:pPr>
            <w:r>
              <w:rPr>
                <w:rFonts w:ascii="Arial" w:hAnsi="Arial"/>
                <w:b/>
                <w:color w:val="FFFFFF"/>
                <w:sz w:val="18"/>
              </w:rPr>
              <w:t>Bigram %</w:t>
            </w:r>
          </w:p>
        </w:tc>
      </w:tr>
      <w:tr>
        <w:tc>
          <w:tcPr>
            <w:tcW w:type="dxa" w:w="864"/>
          </w:tcPr>
          <w:p>
            <w:pPr>
              <w:spacing w:before="60" w:after="60"/>
            </w:pPr>
            <w:r>
              <w:rPr>
                <w:rFonts w:ascii="Arial" w:hAnsi="Arial"/>
                <w:sz w:val="18"/>
              </w:rPr>
              <w:t>1</w:t>
            </w:r>
          </w:p>
        </w:tc>
        <w:tc>
          <w:tcPr>
            <w:tcW w:type="dxa" w:w="1584"/>
          </w:tcPr>
          <w:p>
            <w:pPr>
              <w:spacing w:before="60" w:after="60"/>
            </w:pPr>
            <w:r>
              <w:rPr>
                <w:rFonts w:ascii="Arial" w:hAnsi="Arial"/>
                <w:sz w:val="18"/>
              </w:rPr>
              <w:t>the</w:t>
            </w:r>
          </w:p>
        </w:tc>
        <w:tc>
          <w:tcPr>
            <w:tcW w:type="dxa" w:w="1296"/>
          </w:tcPr>
          <w:p>
            <w:pPr>
              <w:spacing w:before="60" w:after="60"/>
            </w:pPr>
            <w:r>
              <w:rPr>
                <w:rFonts w:ascii="Arial" w:hAnsi="Arial"/>
                <w:sz w:val="18"/>
              </w:rPr>
              <w:t>5,630</w:t>
            </w:r>
          </w:p>
        </w:tc>
        <w:tc>
          <w:tcPr>
            <w:tcW w:type="dxa" w:w="1584"/>
          </w:tcPr>
          <w:p>
            <w:pPr>
              <w:spacing w:before="60" w:after="60"/>
            </w:pPr>
            <w:r>
              <w:rPr>
                <w:rFonts w:ascii="Arial" w:hAnsi="Arial"/>
                <w:sz w:val="18"/>
              </w:rPr>
              <w:t>5.318%</w:t>
            </w:r>
          </w:p>
        </w:tc>
        <w:tc>
          <w:tcPr>
            <w:tcW w:type="dxa" w:w="1872"/>
          </w:tcPr>
          <w:p>
            <w:pPr>
              <w:spacing w:before="60" w:after="60"/>
            </w:pPr>
            <w:r>
              <w:rPr>
                <w:rFonts w:ascii="Arial" w:hAnsi="Arial"/>
                <w:sz w:val="18"/>
              </w:rPr>
              <w:t>of the</w:t>
            </w:r>
          </w:p>
        </w:tc>
        <w:tc>
          <w:tcPr>
            <w:tcW w:type="dxa" w:w="1296"/>
          </w:tcPr>
          <w:p>
            <w:pPr>
              <w:spacing w:before="60" w:after="60"/>
            </w:pPr>
            <w:r>
              <w:rPr>
                <w:rFonts w:ascii="Arial" w:hAnsi="Arial"/>
                <w:sz w:val="18"/>
              </w:rPr>
              <w:t>714</w:t>
            </w:r>
          </w:p>
        </w:tc>
        <w:tc>
          <w:tcPr>
            <w:tcW w:type="dxa" w:w="1584"/>
          </w:tcPr>
          <w:p>
            <w:pPr>
              <w:spacing w:before="60" w:after="60"/>
            </w:pPr>
            <w:r>
              <w:rPr>
                <w:rFonts w:ascii="Arial" w:hAnsi="Arial"/>
                <w:sz w:val="18"/>
              </w:rPr>
              <w:t>0.674%</w:t>
            </w:r>
          </w:p>
        </w:tc>
      </w:tr>
      <w:tr>
        <w:tc>
          <w:tcPr>
            <w:tcW w:type="dxa" w:w="864"/>
          </w:tcPr>
          <w:p>
            <w:pPr>
              <w:spacing w:before="60" w:after="60"/>
            </w:pPr>
            <w:r>
              <w:rPr>
                <w:rFonts w:ascii="Arial" w:hAnsi="Arial"/>
                <w:sz w:val="18"/>
              </w:rPr>
              <w:t>2</w:t>
            </w:r>
          </w:p>
        </w:tc>
        <w:tc>
          <w:tcPr>
            <w:tcW w:type="dxa" w:w="1584"/>
          </w:tcPr>
          <w:p>
            <w:pPr>
              <w:spacing w:before="60" w:after="60"/>
            </w:pPr>
            <w:r>
              <w:rPr>
                <w:rFonts w:ascii="Arial" w:hAnsi="Arial"/>
                <w:sz w:val="18"/>
              </w:rPr>
              <w:t>i</w:t>
            </w:r>
          </w:p>
        </w:tc>
        <w:tc>
          <w:tcPr>
            <w:tcW w:type="dxa" w:w="1296"/>
          </w:tcPr>
          <w:p>
            <w:pPr>
              <w:spacing w:before="60" w:after="60"/>
            </w:pPr>
            <w:r>
              <w:rPr>
                <w:rFonts w:ascii="Arial" w:hAnsi="Arial"/>
                <w:sz w:val="18"/>
              </w:rPr>
              <w:t>3,038</w:t>
            </w:r>
          </w:p>
        </w:tc>
        <w:tc>
          <w:tcPr>
            <w:tcW w:type="dxa" w:w="1584"/>
          </w:tcPr>
          <w:p>
            <w:pPr>
              <w:spacing w:before="60" w:after="60"/>
            </w:pPr>
            <w:r>
              <w:rPr>
                <w:rFonts w:ascii="Arial" w:hAnsi="Arial"/>
                <w:sz w:val="18"/>
              </w:rPr>
              <w:t>2.870%</w:t>
            </w:r>
          </w:p>
        </w:tc>
        <w:tc>
          <w:tcPr>
            <w:tcW w:type="dxa" w:w="1872"/>
          </w:tcPr>
          <w:p>
            <w:pPr>
              <w:spacing w:before="60" w:after="60"/>
            </w:pPr>
            <w:r>
              <w:rPr>
                <w:rFonts w:ascii="Arial" w:hAnsi="Arial"/>
                <w:sz w:val="18"/>
              </w:rPr>
              <w:t>in the</w:t>
            </w:r>
          </w:p>
        </w:tc>
        <w:tc>
          <w:tcPr>
            <w:tcW w:type="dxa" w:w="1296"/>
          </w:tcPr>
          <w:p>
            <w:pPr>
              <w:spacing w:before="60" w:after="60"/>
            </w:pPr>
            <w:r>
              <w:rPr>
                <w:rFonts w:ascii="Arial" w:hAnsi="Arial"/>
                <w:sz w:val="18"/>
              </w:rPr>
              <w:t>506</w:t>
            </w:r>
          </w:p>
        </w:tc>
        <w:tc>
          <w:tcPr>
            <w:tcW w:type="dxa" w:w="1584"/>
          </w:tcPr>
          <w:p>
            <w:pPr>
              <w:spacing w:before="60" w:after="60"/>
            </w:pPr>
            <w:r>
              <w:rPr>
                <w:rFonts w:ascii="Arial" w:hAnsi="Arial"/>
                <w:sz w:val="18"/>
              </w:rPr>
              <w:t>0.478%</w:t>
            </w:r>
          </w:p>
        </w:tc>
      </w:tr>
      <w:tr>
        <w:tc>
          <w:tcPr>
            <w:tcW w:type="dxa" w:w="864"/>
          </w:tcPr>
          <w:p>
            <w:pPr>
              <w:spacing w:before="60" w:after="60"/>
            </w:pPr>
            <w:r>
              <w:rPr>
                <w:rFonts w:ascii="Arial" w:hAnsi="Arial"/>
                <w:sz w:val="18"/>
              </w:rPr>
              <w:t>3</w:t>
            </w:r>
          </w:p>
        </w:tc>
        <w:tc>
          <w:tcPr>
            <w:tcW w:type="dxa" w:w="1584"/>
          </w:tcPr>
          <w:p>
            <w:pPr>
              <w:spacing w:before="60" w:after="60"/>
            </w:pPr>
            <w:r>
              <w:rPr>
                <w:rFonts w:ascii="Arial" w:hAnsi="Arial"/>
                <w:sz w:val="18"/>
              </w:rPr>
              <w:t>and</w:t>
            </w:r>
          </w:p>
        </w:tc>
        <w:tc>
          <w:tcPr>
            <w:tcW w:type="dxa" w:w="1296"/>
          </w:tcPr>
          <w:p>
            <w:pPr>
              <w:spacing w:before="60" w:after="60"/>
            </w:pPr>
            <w:r>
              <w:rPr>
                <w:rFonts w:ascii="Arial" w:hAnsi="Arial"/>
                <w:sz w:val="18"/>
              </w:rPr>
              <w:t>3,018</w:t>
            </w:r>
          </w:p>
        </w:tc>
        <w:tc>
          <w:tcPr>
            <w:tcW w:type="dxa" w:w="1584"/>
          </w:tcPr>
          <w:p>
            <w:pPr>
              <w:spacing w:before="60" w:after="60"/>
            </w:pPr>
            <w:r>
              <w:rPr>
                <w:rFonts w:ascii="Arial" w:hAnsi="Arial"/>
                <w:sz w:val="18"/>
              </w:rPr>
              <w:t>2.851%</w:t>
            </w:r>
          </w:p>
        </w:tc>
        <w:tc>
          <w:tcPr>
            <w:tcW w:type="dxa" w:w="1872"/>
          </w:tcPr>
          <w:p>
            <w:pPr>
              <w:spacing w:before="60" w:after="60"/>
            </w:pPr>
            <w:r>
              <w:rPr>
                <w:rFonts w:ascii="Arial" w:hAnsi="Arial"/>
                <w:sz w:val="18"/>
              </w:rPr>
              <w:t>it is</w:t>
            </w:r>
          </w:p>
        </w:tc>
        <w:tc>
          <w:tcPr>
            <w:tcW w:type="dxa" w:w="1296"/>
          </w:tcPr>
          <w:p>
            <w:pPr>
              <w:spacing w:before="60" w:after="60"/>
            </w:pPr>
            <w:r>
              <w:rPr>
                <w:rFonts w:ascii="Arial" w:hAnsi="Arial"/>
                <w:sz w:val="18"/>
              </w:rPr>
              <w:t>335</w:t>
            </w:r>
          </w:p>
        </w:tc>
        <w:tc>
          <w:tcPr>
            <w:tcW w:type="dxa" w:w="1584"/>
          </w:tcPr>
          <w:p>
            <w:pPr>
              <w:spacing w:before="60" w:after="60"/>
            </w:pPr>
            <w:r>
              <w:rPr>
                <w:rFonts w:ascii="Arial" w:hAnsi="Arial"/>
                <w:sz w:val="18"/>
              </w:rPr>
              <w:t>0.316%</w:t>
            </w:r>
          </w:p>
        </w:tc>
      </w:tr>
      <w:tr>
        <w:tc>
          <w:tcPr>
            <w:tcW w:type="dxa" w:w="864"/>
          </w:tcPr>
          <w:p>
            <w:pPr>
              <w:spacing w:before="60" w:after="60"/>
            </w:pPr>
            <w:r>
              <w:rPr>
                <w:rFonts w:ascii="Arial" w:hAnsi="Arial"/>
                <w:sz w:val="18"/>
              </w:rPr>
              <w:t>4</w:t>
            </w:r>
          </w:p>
        </w:tc>
        <w:tc>
          <w:tcPr>
            <w:tcW w:type="dxa" w:w="1584"/>
          </w:tcPr>
          <w:p>
            <w:pPr>
              <w:spacing w:before="60" w:after="60"/>
            </w:pPr>
            <w:r>
              <w:rPr>
                <w:rFonts w:ascii="Arial" w:hAnsi="Arial"/>
                <w:sz w:val="18"/>
              </w:rPr>
              <w:t>to</w:t>
            </w:r>
          </w:p>
        </w:tc>
        <w:tc>
          <w:tcPr>
            <w:tcW w:type="dxa" w:w="1296"/>
          </w:tcPr>
          <w:p>
            <w:pPr>
              <w:spacing w:before="60" w:after="60"/>
            </w:pPr>
            <w:r>
              <w:rPr>
                <w:rFonts w:ascii="Arial" w:hAnsi="Arial"/>
                <w:sz w:val="18"/>
              </w:rPr>
              <w:t>2,744</w:t>
            </w:r>
          </w:p>
        </w:tc>
        <w:tc>
          <w:tcPr>
            <w:tcW w:type="dxa" w:w="1584"/>
          </w:tcPr>
          <w:p>
            <w:pPr>
              <w:spacing w:before="60" w:after="60"/>
            </w:pPr>
            <w:r>
              <w:rPr>
                <w:rFonts w:ascii="Arial" w:hAnsi="Arial"/>
                <w:sz w:val="18"/>
              </w:rPr>
              <w:t>2.592%</w:t>
            </w:r>
          </w:p>
        </w:tc>
        <w:tc>
          <w:tcPr>
            <w:tcW w:type="dxa" w:w="1872"/>
          </w:tcPr>
          <w:p>
            <w:pPr>
              <w:spacing w:before="60" w:after="60"/>
            </w:pPr>
            <w:r>
              <w:rPr>
                <w:rFonts w:ascii="Arial" w:hAnsi="Arial"/>
                <w:sz w:val="18"/>
              </w:rPr>
              <w:t>to the</w:t>
            </w:r>
          </w:p>
        </w:tc>
        <w:tc>
          <w:tcPr>
            <w:tcW w:type="dxa" w:w="1296"/>
          </w:tcPr>
          <w:p>
            <w:pPr>
              <w:spacing w:before="60" w:after="60"/>
            </w:pPr>
            <w:r>
              <w:rPr>
                <w:rFonts w:ascii="Arial" w:hAnsi="Arial"/>
                <w:sz w:val="18"/>
              </w:rPr>
              <w:t>304</w:t>
            </w:r>
          </w:p>
        </w:tc>
        <w:tc>
          <w:tcPr>
            <w:tcW w:type="dxa" w:w="1584"/>
          </w:tcPr>
          <w:p>
            <w:pPr>
              <w:spacing w:before="60" w:after="60"/>
            </w:pPr>
            <w:r>
              <w:rPr>
                <w:rFonts w:ascii="Arial" w:hAnsi="Arial"/>
                <w:sz w:val="18"/>
              </w:rPr>
              <w:t>0.287%</w:t>
            </w:r>
          </w:p>
        </w:tc>
      </w:tr>
      <w:tr>
        <w:tc>
          <w:tcPr>
            <w:tcW w:type="dxa" w:w="864"/>
          </w:tcPr>
          <w:p>
            <w:pPr>
              <w:spacing w:before="60" w:after="60"/>
            </w:pPr>
            <w:r>
              <w:rPr>
                <w:rFonts w:ascii="Arial" w:hAnsi="Arial"/>
                <w:sz w:val="18"/>
              </w:rPr>
              <w:t>5</w:t>
            </w:r>
          </w:p>
        </w:tc>
        <w:tc>
          <w:tcPr>
            <w:tcW w:type="dxa" w:w="1584"/>
          </w:tcPr>
          <w:p>
            <w:pPr>
              <w:spacing w:before="60" w:after="60"/>
            </w:pPr>
            <w:r>
              <w:rPr>
                <w:rFonts w:ascii="Arial" w:hAnsi="Arial"/>
                <w:sz w:val="18"/>
              </w:rPr>
              <w:t>of</w:t>
            </w:r>
          </w:p>
        </w:tc>
        <w:tc>
          <w:tcPr>
            <w:tcW w:type="dxa" w:w="1296"/>
          </w:tcPr>
          <w:p>
            <w:pPr>
              <w:spacing w:before="60" w:after="60"/>
            </w:pPr>
            <w:r>
              <w:rPr>
                <w:rFonts w:ascii="Arial" w:hAnsi="Arial"/>
                <w:sz w:val="18"/>
              </w:rPr>
              <w:t>2,655</w:t>
            </w:r>
          </w:p>
        </w:tc>
        <w:tc>
          <w:tcPr>
            <w:tcW w:type="dxa" w:w="1584"/>
          </w:tcPr>
          <w:p>
            <w:pPr>
              <w:spacing w:before="60" w:after="60"/>
            </w:pPr>
            <w:r>
              <w:rPr>
                <w:rFonts w:ascii="Arial" w:hAnsi="Arial"/>
                <w:sz w:val="18"/>
              </w:rPr>
              <w:t>2.508%</w:t>
            </w:r>
          </w:p>
        </w:tc>
        <w:tc>
          <w:tcPr>
            <w:tcW w:type="dxa" w:w="1872"/>
          </w:tcPr>
          <w:p>
            <w:pPr>
              <w:spacing w:before="60" w:after="60"/>
            </w:pPr>
            <w:r>
              <w:rPr>
                <w:rFonts w:ascii="Arial" w:hAnsi="Arial"/>
                <w:sz w:val="18"/>
              </w:rPr>
              <w:t>i have</w:t>
            </w:r>
          </w:p>
        </w:tc>
        <w:tc>
          <w:tcPr>
            <w:tcW w:type="dxa" w:w="1296"/>
          </w:tcPr>
          <w:p>
            <w:pPr>
              <w:spacing w:before="60" w:after="60"/>
            </w:pPr>
            <w:r>
              <w:rPr>
                <w:rFonts w:ascii="Arial" w:hAnsi="Arial"/>
                <w:sz w:val="18"/>
              </w:rPr>
              <w:t>301</w:t>
            </w:r>
          </w:p>
        </w:tc>
        <w:tc>
          <w:tcPr>
            <w:tcW w:type="dxa" w:w="1584"/>
          </w:tcPr>
          <w:p>
            <w:pPr>
              <w:spacing w:before="60" w:after="60"/>
            </w:pPr>
            <w:r>
              <w:rPr>
                <w:rFonts w:ascii="Arial" w:hAnsi="Arial"/>
                <w:sz w:val="18"/>
              </w:rPr>
              <w:t>0.284%</w:t>
            </w:r>
          </w:p>
        </w:tc>
      </w:tr>
      <w:tr>
        <w:tc>
          <w:tcPr>
            <w:tcW w:type="dxa" w:w="864"/>
          </w:tcPr>
          <w:p>
            <w:pPr>
              <w:spacing w:before="60" w:after="60"/>
            </w:pPr>
            <w:r>
              <w:rPr>
                <w:rFonts w:ascii="Arial" w:hAnsi="Arial"/>
                <w:sz w:val="18"/>
              </w:rPr>
              <w:t>6</w:t>
            </w:r>
          </w:p>
        </w:tc>
        <w:tc>
          <w:tcPr>
            <w:tcW w:type="dxa" w:w="1584"/>
          </w:tcPr>
          <w:p>
            <w:pPr>
              <w:spacing w:before="60" w:after="60"/>
            </w:pPr>
            <w:r>
              <w:rPr>
                <w:rFonts w:ascii="Arial" w:hAnsi="Arial"/>
                <w:sz w:val="18"/>
              </w:rPr>
              <w:t>a</w:t>
            </w:r>
          </w:p>
        </w:tc>
        <w:tc>
          <w:tcPr>
            <w:tcW w:type="dxa" w:w="1296"/>
          </w:tcPr>
          <w:p>
            <w:pPr>
              <w:spacing w:before="60" w:after="60"/>
            </w:pPr>
            <w:r>
              <w:rPr>
                <w:rFonts w:ascii="Arial" w:hAnsi="Arial"/>
                <w:sz w:val="18"/>
              </w:rPr>
              <w:t>2,643</w:t>
            </w:r>
          </w:p>
        </w:tc>
        <w:tc>
          <w:tcPr>
            <w:tcW w:type="dxa" w:w="1584"/>
          </w:tcPr>
          <w:p>
            <w:pPr>
              <w:spacing w:before="60" w:after="60"/>
            </w:pPr>
            <w:r>
              <w:rPr>
                <w:rFonts w:ascii="Arial" w:hAnsi="Arial"/>
                <w:sz w:val="18"/>
              </w:rPr>
              <w:t>2.497%</w:t>
            </w:r>
          </w:p>
        </w:tc>
        <w:tc>
          <w:tcPr>
            <w:tcW w:type="dxa" w:w="1872"/>
          </w:tcPr>
          <w:p>
            <w:pPr>
              <w:spacing w:before="60" w:after="60"/>
            </w:pPr>
            <w:r>
              <w:rPr>
                <w:rFonts w:ascii="Arial" w:hAnsi="Arial"/>
                <w:sz w:val="18"/>
              </w:rPr>
              <w:t>it was</w:t>
            </w:r>
          </w:p>
        </w:tc>
        <w:tc>
          <w:tcPr>
            <w:tcW w:type="dxa" w:w="1296"/>
          </w:tcPr>
          <w:p>
            <w:pPr>
              <w:spacing w:before="60" w:after="60"/>
            </w:pPr>
            <w:r>
              <w:rPr>
                <w:rFonts w:ascii="Arial" w:hAnsi="Arial"/>
                <w:sz w:val="18"/>
              </w:rPr>
              <w:t>279</w:t>
            </w:r>
          </w:p>
        </w:tc>
        <w:tc>
          <w:tcPr>
            <w:tcW w:type="dxa" w:w="1584"/>
          </w:tcPr>
          <w:p>
            <w:pPr>
              <w:spacing w:before="60" w:after="60"/>
            </w:pPr>
            <w:r>
              <w:rPr>
                <w:rFonts w:ascii="Arial" w:hAnsi="Arial"/>
                <w:sz w:val="18"/>
              </w:rPr>
              <w:t>0.264%</w:t>
            </w:r>
          </w:p>
        </w:tc>
      </w:tr>
      <w:tr>
        <w:tc>
          <w:tcPr>
            <w:tcW w:type="dxa" w:w="864"/>
          </w:tcPr>
          <w:p>
            <w:pPr>
              <w:spacing w:before="60" w:after="60"/>
            </w:pPr>
            <w:r>
              <w:rPr>
                <w:rFonts w:ascii="Arial" w:hAnsi="Arial"/>
                <w:sz w:val="18"/>
              </w:rPr>
              <w:t>7</w:t>
            </w:r>
          </w:p>
        </w:tc>
        <w:tc>
          <w:tcPr>
            <w:tcW w:type="dxa" w:w="1584"/>
          </w:tcPr>
          <w:p>
            <w:pPr>
              <w:spacing w:before="60" w:after="60"/>
            </w:pPr>
            <w:r>
              <w:rPr>
                <w:rFonts w:ascii="Arial" w:hAnsi="Arial"/>
                <w:sz w:val="18"/>
              </w:rPr>
              <w:t>in</w:t>
            </w:r>
          </w:p>
        </w:tc>
        <w:tc>
          <w:tcPr>
            <w:tcW w:type="dxa" w:w="1296"/>
          </w:tcPr>
          <w:p>
            <w:pPr>
              <w:spacing w:before="60" w:after="60"/>
            </w:pPr>
            <w:r>
              <w:rPr>
                <w:rFonts w:ascii="Arial" w:hAnsi="Arial"/>
                <w:sz w:val="18"/>
              </w:rPr>
              <w:t>1,766</w:t>
            </w:r>
          </w:p>
        </w:tc>
        <w:tc>
          <w:tcPr>
            <w:tcW w:type="dxa" w:w="1584"/>
          </w:tcPr>
          <w:p>
            <w:pPr>
              <w:spacing w:before="60" w:after="60"/>
            </w:pPr>
            <w:r>
              <w:rPr>
                <w:rFonts w:ascii="Arial" w:hAnsi="Arial"/>
                <w:sz w:val="18"/>
              </w:rPr>
              <w:t>1.668%</w:t>
            </w:r>
          </w:p>
        </w:tc>
        <w:tc>
          <w:tcPr>
            <w:tcW w:type="dxa" w:w="1872"/>
          </w:tcPr>
          <w:p>
            <w:pPr>
              <w:spacing w:before="60" w:after="60"/>
            </w:pPr>
            <w:r>
              <w:rPr>
                <w:rFonts w:ascii="Arial" w:hAnsi="Arial"/>
                <w:sz w:val="18"/>
              </w:rPr>
              <w:t>that i</w:t>
            </w:r>
          </w:p>
        </w:tc>
        <w:tc>
          <w:tcPr>
            <w:tcW w:type="dxa" w:w="1296"/>
          </w:tcPr>
          <w:p>
            <w:pPr>
              <w:spacing w:before="60" w:after="60"/>
            </w:pPr>
            <w:r>
              <w:rPr>
                <w:rFonts w:ascii="Arial" w:hAnsi="Arial"/>
                <w:sz w:val="18"/>
              </w:rPr>
              <w:t>257</w:t>
            </w:r>
          </w:p>
        </w:tc>
        <w:tc>
          <w:tcPr>
            <w:tcW w:type="dxa" w:w="1584"/>
          </w:tcPr>
          <w:p>
            <w:pPr>
              <w:spacing w:before="60" w:after="60"/>
            </w:pPr>
            <w:r>
              <w:rPr>
                <w:rFonts w:ascii="Arial" w:hAnsi="Arial"/>
                <w:sz w:val="18"/>
              </w:rPr>
              <w:t>0.243%</w:t>
            </w:r>
          </w:p>
        </w:tc>
      </w:tr>
      <w:tr>
        <w:tc>
          <w:tcPr>
            <w:tcW w:type="dxa" w:w="864"/>
          </w:tcPr>
          <w:p>
            <w:pPr>
              <w:spacing w:before="60" w:after="60"/>
            </w:pPr>
            <w:r>
              <w:rPr>
                <w:rFonts w:ascii="Arial" w:hAnsi="Arial"/>
                <w:sz w:val="18"/>
              </w:rPr>
              <w:t>8</w:t>
            </w:r>
          </w:p>
        </w:tc>
        <w:tc>
          <w:tcPr>
            <w:tcW w:type="dxa" w:w="1584"/>
          </w:tcPr>
          <w:p>
            <w:pPr>
              <w:spacing w:before="60" w:after="60"/>
            </w:pPr>
            <w:r>
              <w:rPr>
                <w:rFonts w:ascii="Arial" w:hAnsi="Arial"/>
                <w:sz w:val="18"/>
              </w:rPr>
              <w:t>that</w:t>
            </w:r>
          </w:p>
        </w:tc>
        <w:tc>
          <w:tcPr>
            <w:tcW w:type="dxa" w:w="1296"/>
          </w:tcPr>
          <w:p>
            <w:pPr>
              <w:spacing w:before="60" w:after="60"/>
            </w:pPr>
            <w:r>
              <w:rPr>
                <w:rFonts w:ascii="Arial" w:hAnsi="Arial"/>
                <w:sz w:val="18"/>
              </w:rPr>
              <w:t>1,752</w:t>
            </w:r>
          </w:p>
        </w:tc>
        <w:tc>
          <w:tcPr>
            <w:tcW w:type="dxa" w:w="1584"/>
          </w:tcPr>
          <w:p>
            <w:pPr>
              <w:spacing w:before="60" w:after="60"/>
            </w:pPr>
            <w:r>
              <w:rPr>
                <w:rFonts w:ascii="Arial" w:hAnsi="Arial"/>
                <w:sz w:val="18"/>
              </w:rPr>
              <w:t>1.655%</w:t>
            </w:r>
          </w:p>
        </w:tc>
        <w:tc>
          <w:tcPr>
            <w:tcW w:type="dxa" w:w="1872"/>
          </w:tcPr>
          <w:p>
            <w:pPr>
              <w:spacing w:before="60" w:after="60"/>
            </w:pPr>
            <w:r>
              <w:rPr>
                <w:rFonts w:ascii="Arial" w:hAnsi="Arial"/>
                <w:sz w:val="18"/>
              </w:rPr>
              <w:t>at the</w:t>
            </w:r>
          </w:p>
        </w:tc>
        <w:tc>
          <w:tcPr>
            <w:tcW w:type="dxa" w:w="1296"/>
          </w:tcPr>
          <w:p>
            <w:pPr>
              <w:spacing w:before="60" w:after="60"/>
            </w:pPr>
            <w:r>
              <w:rPr>
                <w:rFonts w:ascii="Arial" w:hAnsi="Arial"/>
                <w:sz w:val="18"/>
              </w:rPr>
              <w:t>237</w:t>
            </w:r>
          </w:p>
        </w:tc>
        <w:tc>
          <w:tcPr>
            <w:tcW w:type="dxa" w:w="1584"/>
          </w:tcPr>
          <w:p>
            <w:pPr>
              <w:spacing w:before="60" w:after="60"/>
            </w:pPr>
            <w:r>
              <w:rPr>
                <w:rFonts w:ascii="Arial" w:hAnsi="Arial"/>
                <w:sz w:val="18"/>
              </w:rPr>
              <w:t>0.224%</w:t>
            </w:r>
          </w:p>
        </w:tc>
      </w:tr>
      <w:tr>
        <w:tc>
          <w:tcPr>
            <w:tcW w:type="dxa" w:w="864"/>
          </w:tcPr>
          <w:p>
            <w:pPr>
              <w:spacing w:before="60" w:after="60"/>
            </w:pPr>
            <w:r>
              <w:rPr>
                <w:rFonts w:ascii="Arial" w:hAnsi="Arial"/>
                <w:sz w:val="18"/>
              </w:rPr>
              <w:t>9</w:t>
            </w:r>
          </w:p>
        </w:tc>
        <w:tc>
          <w:tcPr>
            <w:tcW w:type="dxa" w:w="1584"/>
          </w:tcPr>
          <w:p>
            <w:pPr>
              <w:spacing w:before="60" w:after="60"/>
            </w:pPr>
            <w:r>
              <w:rPr>
                <w:rFonts w:ascii="Arial" w:hAnsi="Arial"/>
                <w:sz w:val="18"/>
              </w:rPr>
              <w:t>it</w:t>
            </w:r>
          </w:p>
        </w:tc>
        <w:tc>
          <w:tcPr>
            <w:tcW w:type="dxa" w:w="1296"/>
          </w:tcPr>
          <w:p>
            <w:pPr>
              <w:spacing w:before="60" w:after="60"/>
            </w:pPr>
            <w:r>
              <w:rPr>
                <w:rFonts w:ascii="Arial" w:hAnsi="Arial"/>
                <w:sz w:val="18"/>
              </w:rPr>
              <w:t>1,734</w:t>
            </w:r>
          </w:p>
        </w:tc>
        <w:tc>
          <w:tcPr>
            <w:tcW w:type="dxa" w:w="1584"/>
          </w:tcPr>
          <w:p>
            <w:pPr>
              <w:spacing w:before="60" w:after="60"/>
            </w:pPr>
            <w:r>
              <w:rPr>
                <w:rFonts w:ascii="Arial" w:hAnsi="Arial"/>
                <w:sz w:val="18"/>
              </w:rPr>
              <w:t>1.638%</w:t>
            </w:r>
          </w:p>
        </w:tc>
        <w:tc>
          <w:tcPr>
            <w:tcW w:type="dxa" w:w="1872"/>
          </w:tcPr>
          <w:p>
            <w:pPr>
              <w:spacing w:before="60" w:after="60"/>
            </w:pPr>
            <w:r>
              <w:rPr>
                <w:rFonts w:ascii="Arial" w:hAnsi="Arial"/>
                <w:sz w:val="18"/>
              </w:rPr>
              <w:t>and i</w:t>
            </w:r>
          </w:p>
        </w:tc>
        <w:tc>
          <w:tcPr>
            <w:tcW w:type="dxa" w:w="1296"/>
          </w:tcPr>
          <w:p>
            <w:pPr>
              <w:spacing w:before="60" w:after="60"/>
            </w:pPr>
            <w:r>
              <w:rPr>
                <w:rFonts w:ascii="Arial" w:hAnsi="Arial"/>
                <w:sz w:val="18"/>
              </w:rPr>
              <w:t>218</w:t>
            </w:r>
          </w:p>
        </w:tc>
        <w:tc>
          <w:tcPr>
            <w:tcW w:type="dxa" w:w="1584"/>
          </w:tcPr>
          <w:p>
            <w:pPr>
              <w:spacing w:before="60" w:after="60"/>
            </w:pPr>
            <w:r>
              <w:rPr>
                <w:rFonts w:ascii="Arial" w:hAnsi="Arial"/>
                <w:sz w:val="18"/>
              </w:rPr>
              <w:t>0.206%</w:t>
            </w:r>
          </w:p>
        </w:tc>
      </w:tr>
      <w:tr>
        <w:tc>
          <w:tcPr>
            <w:tcW w:type="dxa" w:w="864"/>
          </w:tcPr>
          <w:p>
            <w:pPr>
              <w:spacing w:before="60" w:after="60"/>
            </w:pPr>
            <w:r>
              <w:rPr>
                <w:rFonts w:ascii="Arial" w:hAnsi="Arial"/>
                <w:sz w:val="18"/>
              </w:rPr>
              <w:t>10</w:t>
            </w:r>
          </w:p>
        </w:tc>
        <w:tc>
          <w:tcPr>
            <w:tcW w:type="dxa" w:w="1584"/>
          </w:tcPr>
          <w:p>
            <w:pPr>
              <w:spacing w:before="60" w:after="60"/>
            </w:pPr>
            <w:r>
              <w:rPr>
                <w:rFonts w:ascii="Arial" w:hAnsi="Arial"/>
                <w:sz w:val="18"/>
              </w:rPr>
              <w:t>you</w:t>
            </w:r>
          </w:p>
        </w:tc>
        <w:tc>
          <w:tcPr>
            <w:tcW w:type="dxa" w:w="1296"/>
          </w:tcPr>
          <w:p>
            <w:pPr>
              <w:spacing w:before="60" w:after="60"/>
            </w:pPr>
            <w:r>
              <w:rPr>
                <w:rFonts w:ascii="Arial" w:hAnsi="Arial"/>
                <w:sz w:val="18"/>
              </w:rPr>
              <w:t>1,502</w:t>
            </w:r>
          </w:p>
        </w:tc>
        <w:tc>
          <w:tcPr>
            <w:tcW w:type="dxa" w:w="1584"/>
          </w:tcPr>
          <w:p>
            <w:pPr>
              <w:spacing w:before="60" w:after="60"/>
            </w:pPr>
            <w:r>
              <w:rPr>
                <w:rFonts w:ascii="Arial" w:hAnsi="Arial"/>
                <w:sz w:val="18"/>
              </w:rPr>
              <w:t>1.419%</w:t>
            </w:r>
          </w:p>
        </w:tc>
        <w:tc>
          <w:tcPr>
            <w:tcW w:type="dxa" w:w="1872"/>
          </w:tcPr>
          <w:p>
            <w:pPr>
              <w:spacing w:before="60" w:after="60"/>
            </w:pPr>
            <w:r>
              <w:rPr>
                <w:rFonts w:ascii="Arial" w:hAnsi="Arial"/>
                <w:sz w:val="18"/>
              </w:rPr>
              <w:t>and the</w:t>
            </w:r>
          </w:p>
        </w:tc>
        <w:tc>
          <w:tcPr>
            <w:tcW w:type="dxa" w:w="1296"/>
          </w:tcPr>
          <w:p>
            <w:pPr>
              <w:spacing w:before="60" w:after="60"/>
            </w:pPr>
            <w:r>
              <w:rPr>
                <w:rFonts w:ascii="Arial" w:hAnsi="Arial"/>
                <w:sz w:val="18"/>
              </w:rPr>
              <w:t>199</w:t>
            </w:r>
          </w:p>
        </w:tc>
        <w:tc>
          <w:tcPr>
            <w:tcW w:type="dxa" w:w="1584"/>
          </w:tcPr>
          <w:p>
            <w:pPr>
              <w:spacing w:before="60" w:after="60"/>
            </w:pPr>
            <w:r>
              <w:rPr>
                <w:rFonts w:ascii="Arial" w:hAnsi="Arial"/>
                <w:sz w:val="18"/>
              </w:rPr>
              <w:t>0.188%</w:t>
            </w:r>
          </w:p>
        </w:tc>
      </w:tr>
    </w:tbl>
    <w:p>
      <w:pPr>
        <w:pStyle w:val="Heading2"/>
      </w:pPr>
      <w:r>
        <w:rPr>
          <w:rFonts w:ascii="Arial" w:hAnsi="Arial"/>
          <w:b/>
          <w:color w:val="2C3E50"/>
          <w:sz w:val="25"/>
        </w:rPr>
        <w:t>3.6 Temporal Partitioning &amp; Boundary Autocorrelation Safeguards</w:t>
      </w:r>
    </w:p>
    <w:p>
      <w:r>
        <w:t>In sliding-window causal sequence modeling, a window of length L = 20 advanced by stride s = 2 shares L - s = 18 tokens between consecutive sequences. To rigorously prevent future data leakage, our pipeline adopts a strict chronological split (Train: first 80%, Validation: next 10%, Test: final 10%). While consecutive training windows possess natural autocorrelation, they preserve unidirectional arrow of time. Furthermore, because the evaluation splits occupy chronologically later chapters, test set perplexity genuinely measures the models' generalization ability on unseen narrative contexts.</w:t>
      </w:r>
    </w:p>
    <w:p/>
    <w:p>
      <w:pPr>
        <w:pStyle w:val="Heading1"/>
      </w:pPr>
      <w:r>
        <w:rPr>
          <w:rFonts w:ascii="Arial" w:hAnsi="Arial"/>
          <w:b/>
          <w:color w:val="1B365D"/>
          <w:sz w:val="30"/>
        </w:rPr>
        <w:t>4. Quantitative Performance &amp; Comparative Model Evaluation</w:t>
      </w:r>
    </w:p>
    <w:p>
      <w:r>
        <w:t>All four models were trained for 10 epochs using identical hyperparameters: embedding dimension = 128, hidden dimension = 256, number of layers = 2, dropout = 0.2, batch size = 64, Adam optimizer with initial learning rate = 0.001, ReduceLROnPlateau scheduler, and gradient clipping at max norm = 1.0. The held-out test split (6,082 samples, 10% of dataset) was evaluated across Cross-Entropy Loss, Test Perplexity (PPL), Top-1 Accuracy, Top-5 Accuracy, and Inference Latency per batch.</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872"/>
            <w:shd w:fill="1B365D"/>
          </w:tcPr>
          <w:p>
            <w:pPr>
              <w:spacing w:before="60" w:after="60"/>
            </w:pPr>
            <w:r>
              <w:rPr>
                <w:rFonts w:ascii="Arial" w:hAnsi="Arial"/>
                <w:b/>
                <w:color w:val="FFFFFF"/>
                <w:sz w:val="18"/>
              </w:rPr>
              <w:t>Model</w:t>
            </w:r>
          </w:p>
        </w:tc>
        <w:tc>
          <w:tcPr>
            <w:tcW w:type="dxa" w:w="1296"/>
            <w:shd w:fill="1B365D"/>
          </w:tcPr>
          <w:p>
            <w:pPr>
              <w:spacing w:before="60" w:after="60"/>
            </w:pPr>
            <w:r>
              <w:rPr>
                <w:rFonts w:ascii="Arial" w:hAnsi="Arial"/>
                <w:b/>
                <w:color w:val="FFFFFF"/>
                <w:sz w:val="18"/>
              </w:rPr>
              <w:t>Parameters</w:t>
            </w:r>
          </w:p>
        </w:tc>
        <w:tc>
          <w:tcPr>
            <w:tcW w:type="dxa" w:w="1008"/>
            <w:shd w:fill="1B365D"/>
          </w:tcPr>
          <w:p>
            <w:pPr>
              <w:spacing w:before="60" w:after="60"/>
            </w:pPr>
            <w:r>
              <w:rPr>
                <w:rFonts w:ascii="Arial" w:hAnsi="Arial"/>
                <w:b/>
                <w:color w:val="FFFFFF"/>
                <w:sz w:val="18"/>
              </w:rPr>
              <w:t>Train Loss</w:t>
            </w:r>
          </w:p>
        </w:tc>
        <w:tc>
          <w:tcPr>
            <w:tcW w:type="dxa" w:w="1008"/>
            <w:shd w:fill="1B365D"/>
          </w:tcPr>
          <w:p>
            <w:pPr>
              <w:spacing w:before="60" w:after="60"/>
            </w:pPr>
            <w:r>
              <w:rPr>
                <w:rFonts w:ascii="Arial" w:hAnsi="Arial"/>
                <w:b/>
                <w:color w:val="FFFFFF"/>
                <w:sz w:val="18"/>
              </w:rPr>
              <w:t>Val Loss</w:t>
            </w:r>
          </w:p>
        </w:tc>
        <w:tc>
          <w:tcPr>
            <w:tcW w:type="dxa" w:w="1008"/>
            <w:shd w:fill="1B365D"/>
          </w:tcPr>
          <w:p>
            <w:pPr>
              <w:spacing w:before="60" w:after="60"/>
            </w:pPr>
            <w:r>
              <w:rPr>
                <w:rFonts w:ascii="Arial" w:hAnsi="Arial"/>
                <w:b/>
                <w:color w:val="FFFFFF"/>
                <w:sz w:val="18"/>
              </w:rPr>
              <w:t>Test Loss</w:t>
            </w:r>
          </w:p>
        </w:tc>
        <w:tc>
          <w:tcPr>
            <w:tcW w:type="dxa" w:w="1152"/>
            <w:shd w:fill="1B365D"/>
          </w:tcPr>
          <w:p>
            <w:pPr>
              <w:spacing w:before="60" w:after="60"/>
            </w:pPr>
            <w:r>
              <w:rPr>
                <w:rFonts w:ascii="Arial" w:hAnsi="Arial"/>
                <w:b/>
                <w:color w:val="FFFFFF"/>
                <w:sz w:val="18"/>
              </w:rPr>
              <w:t>Perplexity</w:t>
            </w:r>
          </w:p>
        </w:tc>
        <w:tc>
          <w:tcPr>
            <w:tcW w:type="dxa" w:w="1152"/>
            <w:shd w:fill="1B365D"/>
          </w:tcPr>
          <w:p>
            <w:pPr>
              <w:spacing w:before="60" w:after="60"/>
            </w:pPr>
            <w:r>
              <w:rPr>
                <w:rFonts w:ascii="Arial" w:hAnsi="Arial"/>
                <w:b/>
                <w:color w:val="FFFFFF"/>
                <w:sz w:val="18"/>
              </w:rPr>
              <w:t>Top-1 Acc (%)</w:t>
            </w:r>
          </w:p>
        </w:tc>
        <w:tc>
          <w:tcPr>
            <w:tcW w:type="dxa" w:w="1152"/>
            <w:shd w:fill="1B365D"/>
          </w:tcPr>
          <w:p>
            <w:pPr>
              <w:spacing w:before="60" w:after="60"/>
            </w:pPr>
            <w:r>
              <w:rPr>
                <w:rFonts w:ascii="Arial" w:hAnsi="Arial"/>
                <w:b/>
                <w:color w:val="FFFFFF"/>
                <w:sz w:val="18"/>
              </w:rPr>
              <w:t>Top-5 Acc (%)</w:t>
            </w:r>
          </w:p>
        </w:tc>
        <w:tc>
          <w:tcPr>
            <w:tcW w:type="dxa" w:w="1152"/>
            <w:shd w:fill="1B365D"/>
          </w:tcPr>
          <w:p>
            <w:pPr>
              <w:spacing w:before="60" w:after="60"/>
            </w:pPr>
            <w:r>
              <w:rPr>
                <w:rFonts w:ascii="Arial" w:hAnsi="Arial"/>
                <w:b/>
                <w:color w:val="FFFFFF"/>
                <w:sz w:val="18"/>
              </w:rPr>
              <w:t>Latency (ms)</w:t>
            </w:r>
          </w:p>
        </w:tc>
      </w:tr>
      <w:tr>
        <w:tc>
          <w:tcPr>
            <w:tcW w:type="dxa" w:w="1872"/>
          </w:tcPr>
          <w:p>
            <w:pPr>
              <w:spacing w:before="60" w:after="60"/>
            </w:pPr>
            <w:r>
              <w:rPr>
                <w:rFonts w:ascii="Arial" w:hAnsi="Arial"/>
                <w:sz w:val="18"/>
              </w:rPr>
              <w:t>Simple RNN</w:t>
            </w:r>
          </w:p>
        </w:tc>
        <w:tc>
          <w:tcPr>
            <w:tcW w:type="dxa" w:w="1296"/>
          </w:tcPr>
          <w:p>
            <w:pPr>
              <w:spacing w:before="60" w:after="60"/>
            </w:pPr>
            <w:r>
              <w:rPr>
                <w:rFonts w:ascii="Arial" w:hAnsi="Arial"/>
                <w:sz w:val="18"/>
              </w:rPr>
              <w:t>1,915,930</w:t>
            </w:r>
          </w:p>
        </w:tc>
        <w:tc>
          <w:tcPr>
            <w:tcW w:type="dxa" w:w="1008"/>
          </w:tcPr>
          <w:p>
            <w:pPr>
              <w:spacing w:before="60" w:after="60"/>
            </w:pPr>
            <w:r>
              <w:rPr>
                <w:rFonts w:ascii="Arial" w:hAnsi="Arial"/>
                <w:sz w:val="18"/>
              </w:rPr>
              <w:t>4.2867</w:t>
            </w:r>
          </w:p>
        </w:tc>
        <w:tc>
          <w:tcPr>
            <w:tcW w:type="dxa" w:w="1008"/>
          </w:tcPr>
          <w:p>
            <w:pPr>
              <w:spacing w:before="60" w:after="60"/>
            </w:pPr>
            <w:r>
              <w:rPr>
                <w:rFonts w:ascii="Arial" w:hAnsi="Arial"/>
                <w:sz w:val="18"/>
              </w:rPr>
              <w:t>5.1042</w:t>
            </w:r>
          </w:p>
        </w:tc>
        <w:tc>
          <w:tcPr>
            <w:tcW w:type="dxa" w:w="1008"/>
          </w:tcPr>
          <w:p>
            <w:pPr>
              <w:spacing w:before="60" w:after="60"/>
            </w:pPr>
            <w:r>
              <w:rPr>
                <w:rFonts w:ascii="Arial" w:hAnsi="Arial"/>
                <w:sz w:val="18"/>
              </w:rPr>
              <w:t>5.0707</w:t>
            </w:r>
          </w:p>
        </w:tc>
        <w:tc>
          <w:tcPr>
            <w:tcW w:type="dxa" w:w="1152"/>
          </w:tcPr>
          <w:p>
            <w:pPr>
              <w:spacing w:before="60" w:after="60"/>
            </w:pPr>
            <w:r>
              <w:rPr>
                <w:rFonts w:ascii="Arial" w:hAnsi="Arial"/>
                <w:sz w:val="18"/>
              </w:rPr>
              <w:t>159.28</w:t>
            </w:r>
          </w:p>
        </w:tc>
        <w:tc>
          <w:tcPr>
            <w:tcW w:type="dxa" w:w="1152"/>
          </w:tcPr>
          <w:p>
            <w:pPr>
              <w:spacing w:before="60" w:after="60"/>
            </w:pPr>
            <w:r>
              <w:rPr>
                <w:rFonts w:ascii="Arial" w:hAnsi="Arial"/>
                <w:sz w:val="18"/>
              </w:rPr>
              <w:t>16.35%</w:t>
            </w:r>
          </w:p>
        </w:tc>
        <w:tc>
          <w:tcPr>
            <w:tcW w:type="dxa" w:w="1152"/>
          </w:tcPr>
          <w:p>
            <w:pPr>
              <w:spacing w:before="60" w:after="60"/>
            </w:pPr>
            <w:r>
              <w:rPr>
                <w:rFonts w:ascii="Arial" w:hAnsi="Arial"/>
                <w:sz w:val="18"/>
              </w:rPr>
              <w:t>37.26%</w:t>
            </w:r>
          </w:p>
        </w:tc>
        <w:tc>
          <w:tcPr>
            <w:tcW w:type="dxa" w:w="1152"/>
          </w:tcPr>
          <w:p>
            <w:pPr>
              <w:spacing w:before="60" w:after="60"/>
            </w:pPr>
            <w:r>
              <w:rPr>
                <w:rFonts w:ascii="Arial" w:hAnsi="Arial"/>
                <w:sz w:val="18"/>
              </w:rPr>
              <w:t>2.04</w:t>
            </w:r>
          </w:p>
        </w:tc>
      </w:tr>
      <w:tr>
        <w:tc>
          <w:tcPr>
            <w:tcW w:type="dxa" w:w="1872"/>
          </w:tcPr>
          <w:p>
            <w:pPr>
              <w:spacing w:before="60" w:after="60"/>
            </w:pPr>
            <w:r>
              <w:rPr>
                <w:rFonts w:ascii="Arial" w:hAnsi="Arial"/>
                <w:sz w:val="18"/>
              </w:rPr>
              <w:t>Bidirectional RNN</w:t>
            </w:r>
          </w:p>
        </w:tc>
        <w:tc>
          <w:tcPr>
            <w:tcW w:type="dxa" w:w="1296"/>
          </w:tcPr>
          <w:p>
            <w:pPr>
              <w:spacing w:before="60" w:after="60"/>
            </w:pPr>
            <w:r>
              <w:rPr>
                <w:rFonts w:ascii="Arial" w:hAnsi="Arial"/>
                <w:sz w:val="18"/>
              </w:rPr>
              <w:t>1,850,394</w:t>
            </w:r>
          </w:p>
        </w:tc>
        <w:tc>
          <w:tcPr>
            <w:tcW w:type="dxa" w:w="1008"/>
          </w:tcPr>
          <w:p>
            <w:pPr>
              <w:spacing w:before="60" w:after="60"/>
            </w:pPr>
            <w:r>
              <w:rPr>
                <w:rFonts w:ascii="Arial" w:hAnsi="Arial"/>
                <w:sz w:val="18"/>
              </w:rPr>
              <w:t>4.3021</w:t>
            </w:r>
          </w:p>
        </w:tc>
        <w:tc>
          <w:tcPr>
            <w:tcW w:type="dxa" w:w="1008"/>
          </w:tcPr>
          <w:p>
            <w:pPr>
              <w:spacing w:before="60" w:after="60"/>
            </w:pPr>
            <w:r>
              <w:rPr>
                <w:rFonts w:ascii="Arial" w:hAnsi="Arial"/>
                <w:sz w:val="18"/>
              </w:rPr>
              <w:t>5.0600</w:t>
            </w:r>
          </w:p>
        </w:tc>
        <w:tc>
          <w:tcPr>
            <w:tcW w:type="dxa" w:w="1008"/>
          </w:tcPr>
          <w:p>
            <w:pPr>
              <w:spacing w:before="60" w:after="60"/>
            </w:pPr>
            <w:r>
              <w:rPr>
                <w:rFonts w:ascii="Arial" w:hAnsi="Arial"/>
                <w:sz w:val="18"/>
              </w:rPr>
              <w:t>4.9981</w:t>
            </w:r>
          </w:p>
        </w:tc>
        <w:tc>
          <w:tcPr>
            <w:tcW w:type="dxa" w:w="1152"/>
          </w:tcPr>
          <w:p>
            <w:pPr>
              <w:spacing w:before="60" w:after="60"/>
            </w:pPr>
            <w:r>
              <w:rPr>
                <w:rFonts w:ascii="Arial" w:hAnsi="Arial"/>
                <w:sz w:val="18"/>
              </w:rPr>
              <w:t>148.13</w:t>
            </w:r>
          </w:p>
        </w:tc>
        <w:tc>
          <w:tcPr>
            <w:tcW w:type="dxa" w:w="1152"/>
          </w:tcPr>
          <w:p>
            <w:pPr>
              <w:spacing w:before="60" w:after="60"/>
            </w:pPr>
            <w:r>
              <w:rPr>
                <w:rFonts w:ascii="Arial" w:hAnsi="Arial"/>
                <w:sz w:val="18"/>
              </w:rPr>
              <w:t>17.21%</w:t>
            </w:r>
          </w:p>
        </w:tc>
        <w:tc>
          <w:tcPr>
            <w:tcW w:type="dxa" w:w="1152"/>
          </w:tcPr>
          <w:p>
            <w:pPr>
              <w:spacing w:before="60" w:after="60"/>
            </w:pPr>
            <w:r>
              <w:rPr>
                <w:rFonts w:ascii="Arial" w:hAnsi="Arial"/>
                <w:sz w:val="18"/>
              </w:rPr>
              <w:t>38.25%</w:t>
            </w:r>
          </w:p>
        </w:tc>
        <w:tc>
          <w:tcPr>
            <w:tcW w:type="dxa" w:w="1152"/>
          </w:tcPr>
          <w:p>
            <w:pPr>
              <w:spacing w:before="60" w:after="60"/>
            </w:pPr>
            <w:r>
              <w:rPr>
                <w:rFonts w:ascii="Arial" w:hAnsi="Arial"/>
                <w:sz w:val="18"/>
              </w:rPr>
              <w:t>2.64</w:t>
            </w:r>
          </w:p>
        </w:tc>
      </w:tr>
      <w:tr>
        <w:tc>
          <w:tcPr>
            <w:tcW w:type="dxa" w:w="1872"/>
          </w:tcPr>
          <w:p>
            <w:pPr>
              <w:spacing w:before="60" w:after="60"/>
            </w:pPr>
            <w:r>
              <w:rPr>
                <w:rFonts w:ascii="Arial" w:hAnsi="Arial"/>
                <w:sz w:val="18"/>
              </w:rPr>
              <w:t>LSTM</w:t>
            </w:r>
          </w:p>
        </w:tc>
        <w:tc>
          <w:tcPr>
            <w:tcW w:type="dxa" w:w="1296"/>
          </w:tcPr>
          <w:p>
            <w:pPr>
              <w:spacing w:before="60" w:after="60"/>
            </w:pPr>
            <w:r>
              <w:rPr>
                <w:rFonts w:ascii="Arial" w:hAnsi="Arial"/>
                <w:sz w:val="18"/>
              </w:rPr>
              <w:t>2,607,130</w:t>
            </w:r>
          </w:p>
        </w:tc>
        <w:tc>
          <w:tcPr>
            <w:tcW w:type="dxa" w:w="1008"/>
          </w:tcPr>
          <w:p>
            <w:pPr>
              <w:spacing w:before="60" w:after="60"/>
            </w:pPr>
            <w:r>
              <w:rPr>
                <w:rFonts w:ascii="Arial" w:hAnsi="Arial"/>
                <w:sz w:val="18"/>
              </w:rPr>
              <w:t>4.5230</w:t>
            </w:r>
          </w:p>
        </w:tc>
        <w:tc>
          <w:tcPr>
            <w:tcW w:type="dxa" w:w="1008"/>
          </w:tcPr>
          <w:p>
            <w:pPr>
              <w:spacing w:before="60" w:after="60"/>
            </w:pPr>
            <w:r>
              <w:rPr>
                <w:rFonts w:ascii="Arial" w:hAnsi="Arial"/>
                <w:sz w:val="18"/>
              </w:rPr>
              <w:t>4.9072</w:t>
            </w:r>
          </w:p>
        </w:tc>
        <w:tc>
          <w:tcPr>
            <w:tcW w:type="dxa" w:w="1008"/>
          </w:tcPr>
          <w:p>
            <w:pPr>
              <w:spacing w:before="60" w:after="60"/>
            </w:pPr>
            <w:r>
              <w:rPr>
                <w:rFonts w:ascii="Arial" w:hAnsi="Arial"/>
                <w:sz w:val="18"/>
              </w:rPr>
              <w:t>4.8809</w:t>
            </w:r>
          </w:p>
        </w:tc>
        <w:tc>
          <w:tcPr>
            <w:tcW w:type="dxa" w:w="1152"/>
          </w:tcPr>
          <w:p>
            <w:pPr>
              <w:spacing w:before="60" w:after="60"/>
            </w:pPr>
            <w:r>
              <w:rPr>
                <w:rFonts w:ascii="Arial" w:hAnsi="Arial"/>
                <w:sz w:val="18"/>
              </w:rPr>
              <w:t>131.74</w:t>
            </w:r>
          </w:p>
        </w:tc>
        <w:tc>
          <w:tcPr>
            <w:tcW w:type="dxa" w:w="1152"/>
          </w:tcPr>
          <w:p>
            <w:pPr>
              <w:spacing w:before="60" w:after="60"/>
            </w:pPr>
            <w:r>
              <w:rPr>
                <w:rFonts w:ascii="Arial" w:hAnsi="Arial"/>
                <w:sz w:val="18"/>
              </w:rPr>
              <w:t>17.22%</w:t>
            </w:r>
          </w:p>
        </w:tc>
        <w:tc>
          <w:tcPr>
            <w:tcW w:type="dxa" w:w="1152"/>
          </w:tcPr>
          <w:p>
            <w:pPr>
              <w:spacing w:before="60" w:after="60"/>
            </w:pPr>
            <w:r>
              <w:rPr>
                <w:rFonts w:ascii="Arial" w:hAnsi="Arial"/>
                <w:sz w:val="18"/>
              </w:rPr>
              <w:t>38.59%</w:t>
            </w:r>
          </w:p>
        </w:tc>
        <w:tc>
          <w:tcPr>
            <w:tcW w:type="dxa" w:w="1152"/>
          </w:tcPr>
          <w:p>
            <w:pPr>
              <w:spacing w:before="60" w:after="60"/>
            </w:pPr>
            <w:r>
              <w:rPr>
                <w:rFonts w:ascii="Arial" w:hAnsi="Arial"/>
                <w:sz w:val="18"/>
              </w:rPr>
              <w:t>1.65</w:t>
            </w:r>
          </w:p>
        </w:tc>
      </w:tr>
      <w:tr>
        <w:tc>
          <w:tcPr>
            <w:tcW w:type="dxa" w:w="1872"/>
          </w:tcPr>
          <w:p>
            <w:pPr>
              <w:spacing w:before="60" w:after="60"/>
            </w:pPr>
            <w:r>
              <w:rPr>
                <w:rFonts w:ascii="Arial" w:hAnsi="Arial"/>
                <w:sz w:val="18"/>
              </w:rPr>
              <w:t>GRU</w:t>
            </w:r>
          </w:p>
        </w:tc>
        <w:tc>
          <w:tcPr>
            <w:tcW w:type="dxa" w:w="1296"/>
          </w:tcPr>
          <w:p>
            <w:pPr>
              <w:spacing w:before="60" w:after="60"/>
            </w:pPr>
            <w:r>
              <w:rPr>
                <w:rFonts w:ascii="Arial" w:hAnsi="Arial"/>
                <w:sz w:val="18"/>
              </w:rPr>
              <w:t>2,376,730</w:t>
            </w:r>
          </w:p>
        </w:tc>
        <w:tc>
          <w:tcPr>
            <w:tcW w:type="dxa" w:w="1008"/>
          </w:tcPr>
          <w:p>
            <w:pPr>
              <w:spacing w:before="60" w:after="60"/>
            </w:pPr>
            <w:r>
              <w:rPr>
                <w:rFonts w:ascii="Arial" w:hAnsi="Arial"/>
                <w:sz w:val="18"/>
              </w:rPr>
              <w:t>3.9477</w:t>
            </w:r>
          </w:p>
        </w:tc>
        <w:tc>
          <w:tcPr>
            <w:tcW w:type="dxa" w:w="1008"/>
          </w:tcPr>
          <w:p>
            <w:pPr>
              <w:spacing w:before="60" w:after="60"/>
            </w:pPr>
            <w:r>
              <w:rPr>
                <w:rFonts w:ascii="Arial" w:hAnsi="Arial"/>
                <w:sz w:val="18"/>
              </w:rPr>
              <w:t>4.9341</w:t>
            </w:r>
          </w:p>
        </w:tc>
        <w:tc>
          <w:tcPr>
            <w:tcW w:type="dxa" w:w="1008"/>
          </w:tcPr>
          <w:p>
            <w:pPr>
              <w:spacing w:before="60" w:after="60"/>
            </w:pPr>
            <w:r>
              <w:rPr>
                <w:rFonts w:ascii="Arial" w:hAnsi="Arial"/>
                <w:sz w:val="18"/>
              </w:rPr>
              <w:t>4.8602</w:t>
            </w:r>
          </w:p>
        </w:tc>
        <w:tc>
          <w:tcPr>
            <w:tcW w:type="dxa" w:w="1152"/>
          </w:tcPr>
          <w:p>
            <w:pPr>
              <w:spacing w:before="60" w:after="60"/>
            </w:pPr>
            <w:r>
              <w:rPr>
                <w:rFonts w:ascii="Arial" w:hAnsi="Arial"/>
                <w:sz w:val="18"/>
              </w:rPr>
              <w:t>129.05</w:t>
            </w:r>
          </w:p>
        </w:tc>
        <w:tc>
          <w:tcPr>
            <w:tcW w:type="dxa" w:w="1152"/>
          </w:tcPr>
          <w:p>
            <w:pPr>
              <w:spacing w:before="60" w:after="60"/>
            </w:pPr>
            <w:r>
              <w:rPr>
                <w:rFonts w:ascii="Arial" w:hAnsi="Arial"/>
                <w:sz w:val="18"/>
              </w:rPr>
              <w:t>17.86%</w:t>
            </w:r>
          </w:p>
        </w:tc>
        <w:tc>
          <w:tcPr>
            <w:tcW w:type="dxa" w:w="1152"/>
          </w:tcPr>
          <w:p>
            <w:pPr>
              <w:spacing w:before="60" w:after="60"/>
            </w:pPr>
            <w:r>
              <w:rPr>
                <w:rFonts w:ascii="Arial" w:hAnsi="Arial"/>
                <w:sz w:val="18"/>
              </w:rPr>
              <w:t>39.94%</w:t>
            </w:r>
          </w:p>
        </w:tc>
        <w:tc>
          <w:tcPr>
            <w:tcW w:type="dxa" w:w="1152"/>
          </w:tcPr>
          <w:p>
            <w:pPr>
              <w:spacing w:before="60" w:after="60"/>
            </w:pPr>
            <w:r>
              <w:rPr>
                <w:rFonts w:ascii="Arial" w:hAnsi="Arial"/>
                <w:sz w:val="18"/>
              </w:rPr>
              <w:t>5.92</w:t>
            </w:r>
          </w:p>
        </w:tc>
      </w:tr>
    </w:tbl>
    <w:p>
      <w:pPr>
        <w:spacing w:before="160" w:after="40"/>
        <w:jc w:val="center"/>
      </w:pPr>
      <w:r>
        <w:drawing>
          <wp:inline xmlns:a="http://schemas.openxmlformats.org/drawingml/2006/main" xmlns:pic="http://schemas.openxmlformats.org/drawingml/2006/picture">
            <wp:extent cx="5303520" cy="1894114"/>
            <wp:docPr id="6" name="Picture 6"/>
            <wp:cNvGraphicFramePr>
              <a:graphicFrameLocks noChangeAspect="1"/>
            </wp:cNvGraphicFramePr>
            <a:graphic>
              <a:graphicData uri="http://schemas.openxmlformats.org/drawingml/2006/picture">
                <pic:pic>
                  <pic:nvPicPr>
                    <pic:cNvPr id="0" name="loss_curves.png"/>
                    <pic:cNvPicPr/>
                  </pic:nvPicPr>
                  <pic:blipFill>
                    <a:blip r:embed="rId14"/>
                    <a:stretch>
                      <a:fillRect/>
                    </a:stretch>
                  </pic:blipFill>
                  <pic:spPr>
                    <a:xfrm>
                      <a:off x="0" y="0"/>
                      <a:ext cx="5303520" cy="1894114"/>
                    </a:xfrm>
                    <a:prstGeom prst="rect"/>
                  </pic:spPr>
                </pic:pic>
              </a:graphicData>
            </a:graphic>
          </wp:inline>
        </w:drawing>
      </w:r>
    </w:p>
    <w:p>
      <w:pPr>
        <w:spacing w:after="200"/>
        <w:jc w:val="center"/>
      </w:pPr>
      <w:r>
        <w:rPr>
          <w:rFonts w:ascii="Arial" w:hAnsi="Arial"/>
          <w:i/>
          <w:color w:val="555555"/>
          <w:sz w:val="17"/>
        </w:rPr>
        <w:t>Figure 6: Cross-entropy training and validation loss curves over 10 training epochs for Simple RNN, BiRNN, LSTM, and GRU.</w:t>
      </w:r>
    </w:p>
    <w:p>
      <w:pPr>
        <w:spacing w:before="160" w:after="40"/>
        <w:jc w:val="center"/>
      </w:pPr>
      <w:r>
        <w:drawing>
          <wp:inline xmlns:a="http://schemas.openxmlformats.org/drawingml/2006/main" xmlns:pic="http://schemas.openxmlformats.org/drawingml/2006/picture">
            <wp:extent cx="5303520" cy="2946400"/>
            <wp:docPr id="7" name="Picture 7"/>
            <wp:cNvGraphicFramePr>
              <a:graphicFrameLocks noChangeAspect="1"/>
            </wp:cNvGraphicFramePr>
            <a:graphic>
              <a:graphicData uri="http://schemas.openxmlformats.org/drawingml/2006/picture">
                <pic:pic>
                  <pic:nvPicPr>
                    <pic:cNvPr id="0" name="perplexity_curves.png"/>
                    <pic:cNvPicPr/>
                  </pic:nvPicPr>
                  <pic:blipFill>
                    <a:blip r:embed="rId15"/>
                    <a:stretch>
                      <a:fillRect/>
                    </a:stretch>
                  </pic:blipFill>
                  <pic:spPr>
                    <a:xfrm>
                      <a:off x="0" y="0"/>
                      <a:ext cx="5303520" cy="2946400"/>
                    </a:xfrm>
                    <a:prstGeom prst="rect"/>
                  </pic:spPr>
                </pic:pic>
              </a:graphicData>
            </a:graphic>
          </wp:inline>
        </w:drawing>
      </w:r>
    </w:p>
    <w:p>
      <w:pPr>
        <w:spacing w:after="200"/>
        <w:jc w:val="center"/>
      </w:pPr>
      <w:r>
        <w:rPr>
          <w:rFonts w:ascii="Arial" w:hAnsi="Arial"/>
          <w:i/>
          <w:color w:val="555555"/>
          <w:sz w:val="17"/>
        </w:rPr>
        <w:t>Figure 7: Validation perplexity curves over training epochs, demonstrating GRU's superior convergence rate.</w:t>
      </w:r>
    </w:p>
    <w:p>
      <w:pPr>
        <w:spacing w:before="160" w:after="40"/>
        <w:jc w:val="center"/>
      </w:pPr>
      <w:r>
        <w:drawing>
          <wp:inline xmlns:a="http://schemas.openxmlformats.org/drawingml/2006/main" xmlns:pic="http://schemas.openxmlformats.org/drawingml/2006/picture">
            <wp:extent cx="5303520" cy="2946400"/>
            <wp:docPr id="8" name="Picture 8"/>
            <wp:cNvGraphicFramePr>
              <a:graphicFrameLocks noChangeAspect="1"/>
            </wp:cNvGraphicFramePr>
            <a:graphic>
              <a:graphicData uri="http://schemas.openxmlformats.org/drawingml/2006/picture">
                <pic:pic>
                  <pic:nvPicPr>
                    <pic:cNvPr id="0" name="accuracy_comparison.png"/>
                    <pic:cNvPicPr/>
                  </pic:nvPicPr>
                  <pic:blipFill>
                    <a:blip r:embed="rId16"/>
                    <a:stretch>
                      <a:fillRect/>
                    </a:stretch>
                  </pic:blipFill>
                  <pic:spPr>
                    <a:xfrm>
                      <a:off x="0" y="0"/>
                      <a:ext cx="5303520" cy="2946400"/>
                    </a:xfrm>
                    <a:prstGeom prst="rect"/>
                  </pic:spPr>
                </pic:pic>
              </a:graphicData>
            </a:graphic>
          </wp:inline>
        </w:drawing>
      </w:r>
    </w:p>
    <w:p>
      <w:pPr>
        <w:spacing w:after="200"/>
        <w:jc w:val="center"/>
      </w:pPr>
      <w:r>
        <w:rPr>
          <w:rFonts w:ascii="Arial" w:hAnsi="Arial"/>
          <w:i/>
          <w:color w:val="555555"/>
          <w:sz w:val="17"/>
        </w:rPr>
        <w:t>Figure 8: Next-word prediction accuracy comparison on held-out test data showing Top-1 and Top-5 accuracy percentages.</w:t>
      </w:r>
    </w:p>
    <w:p>
      <w:pPr>
        <w:spacing w:before="160" w:after="40"/>
        <w:jc w:val="center"/>
      </w:pPr>
      <w:r>
        <w:drawing>
          <wp:inline xmlns:a="http://schemas.openxmlformats.org/drawingml/2006/main" xmlns:pic="http://schemas.openxmlformats.org/drawingml/2006/picture">
            <wp:extent cx="5303520" cy="2946400"/>
            <wp:docPr id="9" name="Picture 9"/>
            <wp:cNvGraphicFramePr>
              <a:graphicFrameLocks noChangeAspect="1"/>
            </wp:cNvGraphicFramePr>
            <a:graphic>
              <a:graphicData uri="http://schemas.openxmlformats.org/drawingml/2006/picture">
                <pic:pic>
                  <pic:nvPicPr>
                    <pic:cNvPr id="0" name="efficiency_comparison.png"/>
                    <pic:cNvPicPr/>
                  </pic:nvPicPr>
                  <pic:blipFill>
                    <a:blip r:embed="rId17"/>
                    <a:stretch>
                      <a:fillRect/>
                    </a:stretch>
                  </pic:blipFill>
                  <pic:spPr>
                    <a:xfrm>
                      <a:off x="0" y="0"/>
                      <a:ext cx="5303520" cy="2946400"/>
                    </a:xfrm>
                    <a:prstGeom prst="rect"/>
                  </pic:spPr>
                </pic:pic>
              </a:graphicData>
            </a:graphic>
          </wp:inline>
        </w:drawing>
      </w:r>
    </w:p>
    <w:p>
      <w:pPr>
        <w:spacing w:after="200"/>
        <w:jc w:val="center"/>
      </w:pPr>
      <w:r>
        <w:rPr>
          <w:rFonts w:ascii="Arial" w:hAnsi="Arial"/>
          <w:i/>
          <w:color w:val="555555"/>
          <w:sz w:val="17"/>
        </w:rPr>
        <w:t>Figure 9: Computational efficiency trade-off: Trainable parameter count vs. batch inference latency (ms).</w:t>
      </w:r>
    </w:p>
    <w:p>
      <w:pPr>
        <w:pStyle w:val="Heading1"/>
      </w:pPr>
      <w:r>
        <w:rPr>
          <w:rFonts w:ascii="Arial" w:hAnsi="Arial"/>
          <w:b/>
          <w:color w:val="1B365D"/>
          <w:sz w:val="30"/>
        </w:rPr>
        <w:t>5. Qualitative Sampling &amp; Temperature Dynamics Analysis</w:t>
      </w:r>
    </w:p>
    <w:p>
      <w:r>
        <w:t>Autoregressive sequential generation was tested using three sampling temperature values: T = 0.2 (conservative / greedy), T = 0.7 (balanced stochasticity), and T = 1.2 (high entropy exploration). Diversity metrics were computed across 50 generated tokens: Distinct-1 (unigram diversity), Distinct-2 (bigram diversity), and 3-Gram Repetition Rate (percentage of repeated trigrams).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160"/>
            <w:shd w:fill="1B365D"/>
          </w:tcPr>
          <w:p>
            <w:pPr>
              <w:spacing w:before="60" w:after="60"/>
            </w:pPr>
            <w:r>
              <w:rPr>
                <w:rFonts w:ascii="Arial" w:hAnsi="Arial"/>
                <w:b/>
                <w:color w:val="FFFFFF"/>
                <w:sz w:val="18"/>
              </w:rPr>
              <w:t>Model</w:t>
            </w:r>
          </w:p>
        </w:tc>
        <w:tc>
          <w:tcPr>
            <w:tcW w:type="dxa" w:w="1728"/>
            <w:shd w:fill="1B365D"/>
          </w:tcPr>
          <w:p>
            <w:pPr>
              <w:spacing w:before="60" w:after="60"/>
            </w:pPr>
            <w:r>
              <w:rPr>
                <w:rFonts w:ascii="Arial" w:hAnsi="Arial"/>
                <w:b/>
                <w:color w:val="FFFFFF"/>
                <w:sz w:val="18"/>
              </w:rPr>
              <w:t>Temperature (T)</w:t>
            </w:r>
          </w:p>
        </w:tc>
        <w:tc>
          <w:tcPr>
            <w:tcW w:type="dxa" w:w="1584"/>
            <w:shd w:fill="1B365D"/>
          </w:tcPr>
          <w:p>
            <w:pPr>
              <w:spacing w:before="60" w:after="60"/>
            </w:pPr>
            <w:r>
              <w:rPr>
                <w:rFonts w:ascii="Arial" w:hAnsi="Arial"/>
                <w:b/>
                <w:color w:val="FFFFFF"/>
                <w:sz w:val="18"/>
              </w:rPr>
              <w:t>Distinct-1</w:t>
            </w:r>
          </w:p>
        </w:tc>
        <w:tc>
          <w:tcPr>
            <w:tcW w:type="dxa" w:w="1584"/>
            <w:shd w:fill="1B365D"/>
          </w:tcPr>
          <w:p>
            <w:pPr>
              <w:spacing w:before="60" w:after="60"/>
            </w:pPr>
            <w:r>
              <w:rPr>
                <w:rFonts w:ascii="Arial" w:hAnsi="Arial"/>
                <w:b/>
                <w:color w:val="FFFFFF"/>
                <w:sz w:val="18"/>
              </w:rPr>
              <w:t>Distinct-2</w:t>
            </w:r>
          </w:p>
        </w:tc>
        <w:tc>
          <w:tcPr>
            <w:tcW w:type="dxa" w:w="2592"/>
            <w:shd w:fill="1B365D"/>
          </w:tcPr>
          <w:p>
            <w:pPr>
              <w:spacing w:before="60" w:after="60"/>
            </w:pPr>
            <w:r>
              <w:rPr>
                <w:rFonts w:ascii="Arial" w:hAnsi="Arial"/>
                <w:b/>
                <w:color w:val="FFFFFF"/>
                <w:sz w:val="18"/>
              </w:rPr>
              <w:t>3-Gram Repetition Rate (%)</w:t>
            </w:r>
          </w:p>
        </w:tc>
      </w:tr>
      <w:tr>
        <w:tc>
          <w:tcPr>
            <w:tcW w:type="dxa" w:w="2160"/>
          </w:tcPr>
          <w:p>
            <w:pPr>
              <w:spacing w:before="60" w:after="60"/>
            </w:pPr>
            <w:r>
              <w:rPr>
                <w:rFonts w:ascii="Arial" w:hAnsi="Arial"/>
                <w:sz w:val="18"/>
              </w:rPr>
              <w:t>Simple RNN</w:t>
            </w:r>
          </w:p>
        </w:tc>
        <w:tc>
          <w:tcPr>
            <w:tcW w:type="dxa" w:w="1728"/>
          </w:tcPr>
          <w:p>
            <w:pPr>
              <w:spacing w:before="60" w:after="60"/>
            </w:pPr>
            <w:r>
              <w:rPr>
                <w:rFonts w:ascii="Arial" w:hAnsi="Arial"/>
                <w:sz w:val="18"/>
              </w:rPr>
              <w:t>T = 0.2</w:t>
            </w:r>
          </w:p>
        </w:tc>
        <w:tc>
          <w:tcPr>
            <w:tcW w:type="dxa" w:w="1584"/>
          </w:tcPr>
          <w:p>
            <w:pPr>
              <w:spacing w:before="60" w:after="60"/>
            </w:pPr>
            <w:r>
              <w:rPr>
                <w:rFonts w:ascii="Arial" w:hAnsi="Arial"/>
                <w:sz w:val="18"/>
              </w:rPr>
              <w:t>0.5529</w:t>
            </w:r>
          </w:p>
        </w:tc>
        <w:tc>
          <w:tcPr>
            <w:tcW w:type="dxa" w:w="1584"/>
          </w:tcPr>
          <w:p>
            <w:pPr>
              <w:spacing w:before="60" w:after="60"/>
            </w:pPr>
            <w:r>
              <w:rPr>
                <w:rFonts w:ascii="Arial" w:hAnsi="Arial"/>
                <w:sz w:val="18"/>
              </w:rPr>
              <w:t>0.7838</w:t>
            </w:r>
          </w:p>
        </w:tc>
        <w:tc>
          <w:tcPr>
            <w:tcW w:type="dxa" w:w="2592"/>
          </w:tcPr>
          <w:p>
            <w:pPr>
              <w:spacing w:before="60" w:after="60"/>
            </w:pPr>
            <w:r>
              <w:rPr>
                <w:rFonts w:ascii="Arial" w:hAnsi="Arial"/>
                <w:sz w:val="18"/>
              </w:rPr>
              <w:t>25.51%</w:t>
            </w:r>
          </w:p>
        </w:tc>
      </w:tr>
      <w:tr>
        <w:tc>
          <w:tcPr>
            <w:tcW w:type="dxa" w:w="2160"/>
          </w:tcPr>
          <w:p>
            <w:pPr>
              <w:spacing w:before="60" w:after="60"/>
            </w:pPr>
            <w:r>
              <w:rPr>
                <w:rFonts w:ascii="Arial" w:hAnsi="Arial"/>
                <w:sz w:val="18"/>
              </w:rPr>
              <w:t>Simple RNN</w:t>
            </w:r>
          </w:p>
        </w:tc>
        <w:tc>
          <w:tcPr>
            <w:tcW w:type="dxa" w:w="1728"/>
          </w:tcPr>
          <w:p>
            <w:pPr>
              <w:spacing w:before="60" w:after="60"/>
            </w:pPr>
            <w:r>
              <w:rPr>
                <w:rFonts w:ascii="Arial" w:hAnsi="Arial"/>
                <w:sz w:val="18"/>
              </w:rPr>
              <w:t>T = 0.7</w:t>
            </w:r>
          </w:p>
        </w:tc>
        <w:tc>
          <w:tcPr>
            <w:tcW w:type="dxa" w:w="1584"/>
          </w:tcPr>
          <w:p>
            <w:pPr>
              <w:spacing w:before="60" w:after="60"/>
            </w:pPr>
            <w:r>
              <w:rPr>
                <w:rFonts w:ascii="Arial" w:hAnsi="Arial"/>
                <w:sz w:val="18"/>
              </w:rPr>
              <w:t>0.8049</w:t>
            </w:r>
          </w:p>
        </w:tc>
        <w:tc>
          <w:tcPr>
            <w:tcW w:type="dxa" w:w="1584"/>
          </w:tcPr>
          <w:p>
            <w:pPr>
              <w:spacing w:before="60" w:after="60"/>
            </w:pPr>
            <w:r>
              <w:rPr>
                <w:rFonts w:ascii="Arial" w:hAnsi="Arial"/>
                <w:sz w:val="18"/>
              </w:rPr>
              <w:t>0.9917</w:t>
            </w:r>
          </w:p>
        </w:tc>
        <w:tc>
          <w:tcPr>
            <w:tcW w:type="dxa" w:w="2592"/>
          </w:tcPr>
          <w:p>
            <w:pPr>
              <w:spacing w:before="60" w:after="60"/>
            </w:pPr>
            <w:r>
              <w:rPr>
                <w:rFonts w:ascii="Arial" w:hAnsi="Arial"/>
                <w:sz w:val="18"/>
              </w:rPr>
              <w:t>0.00%</w:t>
            </w:r>
          </w:p>
        </w:tc>
      </w:tr>
      <w:tr>
        <w:tc>
          <w:tcPr>
            <w:tcW w:type="dxa" w:w="2160"/>
          </w:tcPr>
          <w:p>
            <w:pPr>
              <w:spacing w:before="60" w:after="60"/>
            </w:pPr>
            <w:r>
              <w:rPr>
                <w:rFonts w:ascii="Arial" w:hAnsi="Arial"/>
                <w:sz w:val="18"/>
              </w:rPr>
              <w:t>Simple RNN</w:t>
            </w:r>
          </w:p>
        </w:tc>
        <w:tc>
          <w:tcPr>
            <w:tcW w:type="dxa" w:w="1728"/>
          </w:tcPr>
          <w:p>
            <w:pPr>
              <w:spacing w:before="60" w:after="60"/>
            </w:pPr>
            <w:r>
              <w:rPr>
                <w:rFonts w:ascii="Arial" w:hAnsi="Arial"/>
                <w:sz w:val="18"/>
              </w:rPr>
              <w:t>T = 1.2</w:t>
            </w:r>
          </w:p>
        </w:tc>
        <w:tc>
          <w:tcPr>
            <w:tcW w:type="dxa" w:w="1584"/>
          </w:tcPr>
          <w:p>
            <w:pPr>
              <w:spacing w:before="60" w:after="60"/>
            </w:pPr>
            <w:r>
              <w:rPr>
                <w:rFonts w:ascii="Arial" w:hAnsi="Arial"/>
                <w:sz w:val="18"/>
              </w:rPr>
              <w:t>0.8766</w:t>
            </w:r>
          </w:p>
        </w:tc>
        <w:tc>
          <w:tcPr>
            <w:tcW w:type="dxa" w:w="1584"/>
          </w:tcPr>
          <w:p>
            <w:pPr>
              <w:spacing w:before="60" w:after="60"/>
            </w:pPr>
            <w:r>
              <w:rPr>
                <w:rFonts w:ascii="Arial" w:hAnsi="Arial"/>
                <w:sz w:val="18"/>
              </w:rPr>
              <w:t>1.0000</w:t>
            </w:r>
          </w:p>
        </w:tc>
        <w:tc>
          <w:tcPr>
            <w:tcW w:type="dxa" w:w="2592"/>
          </w:tcPr>
          <w:p>
            <w:pPr>
              <w:spacing w:before="60" w:after="60"/>
            </w:pPr>
            <w:r>
              <w:rPr>
                <w:rFonts w:ascii="Arial" w:hAnsi="Arial"/>
                <w:sz w:val="18"/>
              </w:rPr>
              <w:t>0.00%</w:t>
            </w:r>
          </w:p>
        </w:tc>
      </w:tr>
      <w:tr>
        <w:tc>
          <w:tcPr>
            <w:tcW w:type="dxa" w:w="2160"/>
          </w:tcPr>
          <w:p>
            <w:pPr>
              <w:spacing w:before="60" w:after="60"/>
            </w:pPr>
            <w:r>
              <w:rPr>
                <w:rFonts w:ascii="Arial" w:hAnsi="Arial"/>
                <w:sz w:val="18"/>
              </w:rPr>
              <w:t>Bidirectional RNN</w:t>
            </w:r>
          </w:p>
        </w:tc>
        <w:tc>
          <w:tcPr>
            <w:tcW w:type="dxa" w:w="1728"/>
          </w:tcPr>
          <w:p>
            <w:pPr>
              <w:spacing w:before="60" w:after="60"/>
            </w:pPr>
            <w:r>
              <w:rPr>
                <w:rFonts w:ascii="Arial" w:hAnsi="Arial"/>
                <w:sz w:val="18"/>
              </w:rPr>
              <w:t>T = 0.2</w:t>
            </w:r>
          </w:p>
        </w:tc>
        <w:tc>
          <w:tcPr>
            <w:tcW w:type="dxa" w:w="1584"/>
          </w:tcPr>
          <w:p>
            <w:pPr>
              <w:spacing w:before="60" w:after="60"/>
            </w:pPr>
            <w:r>
              <w:rPr>
                <w:rFonts w:ascii="Arial" w:hAnsi="Arial"/>
                <w:sz w:val="18"/>
              </w:rPr>
              <w:t>0.5728</w:t>
            </w:r>
          </w:p>
        </w:tc>
        <w:tc>
          <w:tcPr>
            <w:tcW w:type="dxa" w:w="1584"/>
          </w:tcPr>
          <w:p>
            <w:pPr>
              <w:spacing w:before="60" w:after="60"/>
            </w:pPr>
            <w:r>
              <w:rPr>
                <w:rFonts w:ascii="Arial" w:hAnsi="Arial"/>
                <w:sz w:val="18"/>
              </w:rPr>
              <w:t>0.7667</w:t>
            </w:r>
          </w:p>
        </w:tc>
        <w:tc>
          <w:tcPr>
            <w:tcW w:type="dxa" w:w="2592"/>
          </w:tcPr>
          <w:p>
            <w:pPr>
              <w:spacing w:before="60" w:after="60"/>
            </w:pPr>
            <w:r>
              <w:rPr>
                <w:rFonts w:ascii="Arial" w:hAnsi="Arial"/>
                <w:sz w:val="18"/>
              </w:rPr>
              <w:t>25.03%</w:t>
            </w:r>
          </w:p>
        </w:tc>
      </w:tr>
      <w:tr>
        <w:tc>
          <w:tcPr>
            <w:tcW w:type="dxa" w:w="2160"/>
          </w:tcPr>
          <w:p>
            <w:pPr>
              <w:spacing w:before="60" w:after="60"/>
            </w:pPr>
            <w:r>
              <w:rPr>
                <w:rFonts w:ascii="Arial" w:hAnsi="Arial"/>
                <w:sz w:val="18"/>
              </w:rPr>
              <w:t>Bidirectional RNN</w:t>
            </w:r>
          </w:p>
        </w:tc>
        <w:tc>
          <w:tcPr>
            <w:tcW w:type="dxa" w:w="1728"/>
          </w:tcPr>
          <w:p>
            <w:pPr>
              <w:spacing w:before="60" w:after="60"/>
            </w:pPr>
            <w:r>
              <w:rPr>
                <w:rFonts w:ascii="Arial" w:hAnsi="Arial"/>
                <w:sz w:val="18"/>
              </w:rPr>
              <w:t>T = 0.7</w:t>
            </w:r>
          </w:p>
        </w:tc>
        <w:tc>
          <w:tcPr>
            <w:tcW w:type="dxa" w:w="1584"/>
          </w:tcPr>
          <w:p>
            <w:pPr>
              <w:spacing w:before="60" w:after="60"/>
            </w:pPr>
            <w:r>
              <w:rPr>
                <w:rFonts w:ascii="Arial" w:hAnsi="Arial"/>
                <w:sz w:val="18"/>
              </w:rPr>
              <w:t>0.7782</w:t>
            </w:r>
          </w:p>
        </w:tc>
        <w:tc>
          <w:tcPr>
            <w:tcW w:type="dxa" w:w="1584"/>
          </w:tcPr>
          <w:p>
            <w:pPr>
              <w:spacing w:before="60" w:after="60"/>
            </w:pPr>
            <w:r>
              <w:rPr>
                <w:rFonts w:ascii="Arial" w:hAnsi="Arial"/>
                <w:sz w:val="18"/>
              </w:rPr>
              <w:t>0.9641</w:t>
            </w:r>
          </w:p>
        </w:tc>
        <w:tc>
          <w:tcPr>
            <w:tcW w:type="dxa" w:w="2592"/>
          </w:tcPr>
          <w:p>
            <w:pPr>
              <w:spacing w:before="60" w:after="60"/>
            </w:pPr>
            <w:r>
              <w:rPr>
                <w:rFonts w:ascii="Arial" w:hAnsi="Arial"/>
                <w:sz w:val="18"/>
              </w:rPr>
              <w:t>0.00%</w:t>
            </w:r>
          </w:p>
        </w:tc>
      </w:tr>
      <w:tr>
        <w:tc>
          <w:tcPr>
            <w:tcW w:type="dxa" w:w="2160"/>
          </w:tcPr>
          <w:p>
            <w:pPr>
              <w:spacing w:before="60" w:after="60"/>
            </w:pPr>
            <w:r>
              <w:rPr>
                <w:rFonts w:ascii="Arial" w:hAnsi="Arial"/>
                <w:sz w:val="18"/>
              </w:rPr>
              <w:t>Bidirectional RNN</w:t>
            </w:r>
          </w:p>
        </w:tc>
        <w:tc>
          <w:tcPr>
            <w:tcW w:type="dxa" w:w="1728"/>
          </w:tcPr>
          <w:p>
            <w:pPr>
              <w:spacing w:before="60" w:after="60"/>
            </w:pPr>
            <w:r>
              <w:rPr>
                <w:rFonts w:ascii="Arial" w:hAnsi="Arial"/>
                <w:sz w:val="18"/>
              </w:rPr>
              <w:t>T = 1.2</w:t>
            </w:r>
          </w:p>
        </w:tc>
        <w:tc>
          <w:tcPr>
            <w:tcW w:type="dxa" w:w="1584"/>
          </w:tcPr>
          <w:p>
            <w:pPr>
              <w:spacing w:before="60" w:after="60"/>
            </w:pPr>
            <w:r>
              <w:rPr>
                <w:rFonts w:ascii="Arial" w:hAnsi="Arial"/>
                <w:sz w:val="18"/>
              </w:rPr>
              <w:t>0.8911</w:t>
            </w:r>
          </w:p>
        </w:tc>
        <w:tc>
          <w:tcPr>
            <w:tcW w:type="dxa" w:w="1584"/>
          </w:tcPr>
          <w:p>
            <w:pPr>
              <w:spacing w:before="60" w:after="60"/>
            </w:pPr>
            <w:r>
              <w:rPr>
                <w:rFonts w:ascii="Arial" w:hAnsi="Arial"/>
                <w:sz w:val="18"/>
              </w:rPr>
              <w:t>1.0000</w:t>
            </w:r>
          </w:p>
        </w:tc>
        <w:tc>
          <w:tcPr>
            <w:tcW w:type="dxa" w:w="2592"/>
          </w:tcPr>
          <w:p>
            <w:pPr>
              <w:spacing w:before="60" w:after="60"/>
            </w:pPr>
            <w:r>
              <w:rPr>
                <w:rFonts w:ascii="Arial" w:hAnsi="Arial"/>
                <w:sz w:val="18"/>
              </w:rPr>
              <w:t>0.00%</w:t>
            </w:r>
          </w:p>
        </w:tc>
      </w:tr>
      <w:tr>
        <w:tc>
          <w:tcPr>
            <w:tcW w:type="dxa" w:w="2160"/>
          </w:tcPr>
          <w:p>
            <w:pPr>
              <w:spacing w:before="60" w:after="60"/>
            </w:pPr>
            <w:r>
              <w:rPr>
                <w:rFonts w:ascii="Arial" w:hAnsi="Arial"/>
                <w:sz w:val="18"/>
              </w:rPr>
              <w:t>LSTM</w:t>
            </w:r>
          </w:p>
        </w:tc>
        <w:tc>
          <w:tcPr>
            <w:tcW w:type="dxa" w:w="1728"/>
          </w:tcPr>
          <w:p>
            <w:pPr>
              <w:spacing w:before="60" w:after="60"/>
            </w:pPr>
            <w:r>
              <w:rPr>
                <w:rFonts w:ascii="Arial" w:hAnsi="Arial"/>
                <w:sz w:val="18"/>
              </w:rPr>
              <w:t>T = 0.2</w:t>
            </w:r>
          </w:p>
        </w:tc>
        <w:tc>
          <w:tcPr>
            <w:tcW w:type="dxa" w:w="1584"/>
          </w:tcPr>
          <w:p>
            <w:pPr>
              <w:spacing w:before="60" w:after="60"/>
            </w:pPr>
            <w:r>
              <w:rPr>
                <w:rFonts w:ascii="Arial" w:hAnsi="Arial"/>
                <w:sz w:val="18"/>
              </w:rPr>
              <w:t>0.5577</w:t>
            </w:r>
          </w:p>
        </w:tc>
        <w:tc>
          <w:tcPr>
            <w:tcW w:type="dxa" w:w="1584"/>
          </w:tcPr>
          <w:p>
            <w:pPr>
              <w:spacing w:before="60" w:after="60"/>
            </w:pPr>
            <w:r>
              <w:rPr>
                <w:rFonts w:ascii="Arial" w:hAnsi="Arial"/>
                <w:sz w:val="18"/>
              </w:rPr>
              <w:t>0.8075</w:t>
            </w:r>
          </w:p>
        </w:tc>
        <w:tc>
          <w:tcPr>
            <w:tcW w:type="dxa" w:w="2592"/>
          </w:tcPr>
          <w:p>
            <w:pPr>
              <w:spacing w:before="60" w:after="60"/>
            </w:pPr>
            <w:r>
              <w:rPr>
                <w:rFonts w:ascii="Arial" w:hAnsi="Arial"/>
                <w:sz w:val="18"/>
              </w:rPr>
              <w:t>18.80%</w:t>
            </w:r>
          </w:p>
        </w:tc>
      </w:tr>
      <w:tr>
        <w:tc>
          <w:tcPr>
            <w:tcW w:type="dxa" w:w="2160"/>
          </w:tcPr>
          <w:p>
            <w:pPr>
              <w:spacing w:before="60" w:after="60"/>
            </w:pPr>
            <w:r>
              <w:rPr>
                <w:rFonts w:ascii="Arial" w:hAnsi="Arial"/>
                <w:sz w:val="18"/>
              </w:rPr>
              <w:t>LSTM</w:t>
            </w:r>
          </w:p>
        </w:tc>
        <w:tc>
          <w:tcPr>
            <w:tcW w:type="dxa" w:w="1728"/>
          </w:tcPr>
          <w:p>
            <w:pPr>
              <w:spacing w:before="60" w:after="60"/>
            </w:pPr>
            <w:r>
              <w:rPr>
                <w:rFonts w:ascii="Arial" w:hAnsi="Arial"/>
                <w:sz w:val="18"/>
              </w:rPr>
              <w:t>T = 0.7</w:t>
            </w:r>
          </w:p>
        </w:tc>
        <w:tc>
          <w:tcPr>
            <w:tcW w:type="dxa" w:w="1584"/>
          </w:tcPr>
          <w:p>
            <w:pPr>
              <w:spacing w:before="60" w:after="60"/>
            </w:pPr>
            <w:r>
              <w:rPr>
                <w:rFonts w:ascii="Arial" w:hAnsi="Arial"/>
                <w:sz w:val="18"/>
              </w:rPr>
              <w:t>0.7032</w:t>
            </w:r>
          </w:p>
        </w:tc>
        <w:tc>
          <w:tcPr>
            <w:tcW w:type="dxa" w:w="1584"/>
          </w:tcPr>
          <w:p>
            <w:pPr>
              <w:spacing w:before="60" w:after="60"/>
            </w:pPr>
            <w:r>
              <w:rPr>
                <w:rFonts w:ascii="Arial" w:hAnsi="Arial"/>
                <w:sz w:val="18"/>
              </w:rPr>
              <w:t>0.9921</w:t>
            </w:r>
          </w:p>
        </w:tc>
        <w:tc>
          <w:tcPr>
            <w:tcW w:type="dxa" w:w="2592"/>
          </w:tcPr>
          <w:p>
            <w:pPr>
              <w:spacing w:before="60" w:after="60"/>
            </w:pPr>
            <w:r>
              <w:rPr>
                <w:rFonts w:ascii="Arial" w:hAnsi="Arial"/>
                <w:sz w:val="18"/>
              </w:rPr>
              <w:t>0.00%</w:t>
            </w:r>
          </w:p>
        </w:tc>
      </w:tr>
      <w:tr>
        <w:tc>
          <w:tcPr>
            <w:tcW w:type="dxa" w:w="2160"/>
          </w:tcPr>
          <w:p>
            <w:pPr>
              <w:spacing w:before="60" w:after="60"/>
            </w:pPr>
            <w:r>
              <w:rPr>
                <w:rFonts w:ascii="Arial" w:hAnsi="Arial"/>
                <w:sz w:val="18"/>
              </w:rPr>
              <w:t>LSTM</w:t>
            </w:r>
          </w:p>
        </w:tc>
        <w:tc>
          <w:tcPr>
            <w:tcW w:type="dxa" w:w="1728"/>
          </w:tcPr>
          <w:p>
            <w:pPr>
              <w:spacing w:before="60" w:after="60"/>
            </w:pPr>
            <w:r>
              <w:rPr>
                <w:rFonts w:ascii="Arial" w:hAnsi="Arial"/>
                <w:sz w:val="18"/>
              </w:rPr>
              <w:t>T = 1.2</w:t>
            </w:r>
          </w:p>
        </w:tc>
        <w:tc>
          <w:tcPr>
            <w:tcW w:type="dxa" w:w="1584"/>
          </w:tcPr>
          <w:p>
            <w:pPr>
              <w:spacing w:before="60" w:after="60"/>
            </w:pPr>
            <w:r>
              <w:rPr>
                <w:rFonts w:ascii="Arial" w:hAnsi="Arial"/>
                <w:sz w:val="18"/>
              </w:rPr>
              <w:t>0.8645</w:t>
            </w:r>
          </w:p>
        </w:tc>
        <w:tc>
          <w:tcPr>
            <w:tcW w:type="dxa" w:w="1584"/>
          </w:tcPr>
          <w:p>
            <w:pPr>
              <w:spacing w:before="60" w:after="60"/>
            </w:pPr>
            <w:r>
              <w:rPr>
                <w:rFonts w:ascii="Arial" w:hAnsi="Arial"/>
                <w:sz w:val="18"/>
              </w:rPr>
              <w:t>0.9915</w:t>
            </w:r>
          </w:p>
        </w:tc>
        <w:tc>
          <w:tcPr>
            <w:tcW w:type="dxa" w:w="2592"/>
          </w:tcPr>
          <w:p>
            <w:pPr>
              <w:spacing w:before="60" w:after="60"/>
            </w:pPr>
            <w:r>
              <w:rPr>
                <w:rFonts w:ascii="Arial" w:hAnsi="Arial"/>
                <w:sz w:val="18"/>
              </w:rPr>
              <w:t>0.00%</w:t>
            </w:r>
          </w:p>
        </w:tc>
      </w:tr>
      <w:tr>
        <w:tc>
          <w:tcPr>
            <w:tcW w:type="dxa" w:w="2160"/>
          </w:tcPr>
          <w:p>
            <w:pPr>
              <w:spacing w:before="60" w:after="60"/>
            </w:pPr>
            <w:r>
              <w:rPr>
                <w:rFonts w:ascii="Arial" w:hAnsi="Arial"/>
                <w:sz w:val="18"/>
              </w:rPr>
              <w:t>GRU</w:t>
            </w:r>
          </w:p>
        </w:tc>
        <w:tc>
          <w:tcPr>
            <w:tcW w:type="dxa" w:w="1728"/>
          </w:tcPr>
          <w:p>
            <w:pPr>
              <w:spacing w:before="60" w:after="60"/>
            </w:pPr>
            <w:r>
              <w:rPr>
                <w:rFonts w:ascii="Arial" w:hAnsi="Arial"/>
                <w:sz w:val="18"/>
              </w:rPr>
              <w:t>T = 0.2</w:t>
            </w:r>
          </w:p>
        </w:tc>
        <w:tc>
          <w:tcPr>
            <w:tcW w:type="dxa" w:w="1584"/>
          </w:tcPr>
          <w:p>
            <w:pPr>
              <w:spacing w:before="60" w:after="60"/>
            </w:pPr>
            <w:r>
              <w:rPr>
                <w:rFonts w:ascii="Arial" w:hAnsi="Arial"/>
                <w:sz w:val="18"/>
              </w:rPr>
              <w:t>0.5633</w:t>
            </w:r>
          </w:p>
        </w:tc>
        <w:tc>
          <w:tcPr>
            <w:tcW w:type="dxa" w:w="1584"/>
          </w:tcPr>
          <w:p>
            <w:pPr>
              <w:spacing w:before="60" w:after="60"/>
            </w:pPr>
            <w:r>
              <w:rPr>
                <w:rFonts w:ascii="Arial" w:hAnsi="Arial"/>
                <w:sz w:val="18"/>
              </w:rPr>
              <w:t>0.7967</w:t>
            </w:r>
          </w:p>
        </w:tc>
        <w:tc>
          <w:tcPr>
            <w:tcW w:type="dxa" w:w="2592"/>
          </w:tcPr>
          <w:p>
            <w:pPr>
              <w:spacing w:before="60" w:after="60"/>
            </w:pPr>
            <w:r>
              <w:rPr>
                <w:rFonts w:ascii="Arial" w:hAnsi="Arial"/>
                <w:sz w:val="18"/>
              </w:rPr>
              <w:t>15.86%</w:t>
            </w:r>
          </w:p>
        </w:tc>
      </w:tr>
      <w:tr>
        <w:tc>
          <w:tcPr>
            <w:tcW w:type="dxa" w:w="2160"/>
          </w:tcPr>
          <w:p>
            <w:pPr>
              <w:spacing w:before="60" w:after="60"/>
            </w:pPr>
            <w:r>
              <w:rPr>
                <w:rFonts w:ascii="Arial" w:hAnsi="Arial"/>
                <w:sz w:val="18"/>
              </w:rPr>
              <w:t>GRU</w:t>
            </w:r>
          </w:p>
        </w:tc>
        <w:tc>
          <w:tcPr>
            <w:tcW w:type="dxa" w:w="1728"/>
          </w:tcPr>
          <w:p>
            <w:pPr>
              <w:spacing w:before="60" w:after="60"/>
            </w:pPr>
            <w:r>
              <w:rPr>
                <w:rFonts w:ascii="Arial" w:hAnsi="Arial"/>
                <w:sz w:val="18"/>
              </w:rPr>
              <w:t>T = 0.7</w:t>
            </w:r>
          </w:p>
        </w:tc>
        <w:tc>
          <w:tcPr>
            <w:tcW w:type="dxa" w:w="1584"/>
          </w:tcPr>
          <w:p>
            <w:pPr>
              <w:spacing w:before="60" w:after="60"/>
            </w:pPr>
            <w:r>
              <w:rPr>
                <w:rFonts w:ascii="Arial" w:hAnsi="Arial"/>
                <w:sz w:val="18"/>
              </w:rPr>
              <w:t>0.7368</w:t>
            </w:r>
          </w:p>
        </w:tc>
        <w:tc>
          <w:tcPr>
            <w:tcW w:type="dxa" w:w="1584"/>
          </w:tcPr>
          <w:p>
            <w:pPr>
              <w:spacing w:before="60" w:after="60"/>
            </w:pPr>
            <w:r>
              <w:rPr>
                <w:rFonts w:ascii="Arial" w:hAnsi="Arial"/>
                <w:sz w:val="18"/>
              </w:rPr>
              <w:t>0.9720</w:t>
            </w:r>
          </w:p>
        </w:tc>
        <w:tc>
          <w:tcPr>
            <w:tcW w:type="dxa" w:w="2592"/>
          </w:tcPr>
          <w:p>
            <w:pPr>
              <w:spacing w:before="60" w:after="60"/>
            </w:pPr>
            <w:r>
              <w:rPr>
                <w:rFonts w:ascii="Arial" w:hAnsi="Arial"/>
                <w:sz w:val="18"/>
              </w:rPr>
              <w:t>0.00%</w:t>
            </w:r>
          </w:p>
        </w:tc>
      </w:tr>
      <w:tr>
        <w:tc>
          <w:tcPr>
            <w:tcW w:type="dxa" w:w="2160"/>
          </w:tcPr>
          <w:p>
            <w:pPr>
              <w:spacing w:before="60" w:after="60"/>
            </w:pPr>
            <w:r>
              <w:rPr>
                <w:rFonts w:ascii="Arial" w:hAnsi="Arial"/>
                <w:sz w:val="18"/>
              </w:rPr>
              <w:t>GRU</w:t>
            </w:r>
          </w:p>
        </w:tc>
        <w:tc>
          <w:tcPr>
            <w:tcW w:type="dxa" w:w="1728"/>
          </w:tcPr>
          <w:p>
            <w:pPr>
              <w:spacing w:before="60" w:after="60"/>
            </w:pPr>
            <w:r>
              <w:rPr>
                <w:rFonts w:ascii="Arial" w:hAnsi="Arial"/>
                <w:sz w:val="18"/>
              </w:rPr>
              <w:t>T = 1.2</w:t>
            </w:r>
          </w:p>
        </w:tc>
        <w:tc>
          <w:tcPr>
            <w:tcW w:type="dxa" w:w="1584"/>
          </w:tcPr>
          <w:p>
            <w:pPr>
              <w:spacing w:before="60" w:after="60"/>
            </w:pPr>
            <w:r>
              <w:rPr>
                <w:rFonts w:ascii="Arial" w:hAnsi="Arial"/>
                <w:sz w:val="18"/>
              </w:rPr>
              <w:t>0.8368</w:t>
            </w:r>
          </w:p>
        </w:tc>
        <w:tc>
          <w:tcPr>
            <w:tcW w:type="dxa" w:w="1584"/>
          </w:tcPr>
          <w:p>
            <w:pPr>
              <w:spacing w:before="60" w:after="60"/>
            </w:pPr>
            <w:r>
              <w:rPr>
                <w:rFonts w:ascii="Arial" w:hAnsi="Arial"/>
                <w:sz w:val="18"/>
              </w:rPr>
              <w:t>0.9921</w:t>
            </w:r>
          </w:p>
        </w:tc>
        <w:tc>
          <w:tcPr>
            <w:tcW w:type="dxa" w:w="2592"/>
          </w:tcPr>
          <w:p>
            <w:pPr>
              <w:spacing w:before="60" w:after="60"/>
            </w:pPr>
            <w:r>
              <w:rPr>
                <w:rFonts w:ascii="Arial" w:hAnsi="Arial"/>
                <w:sz w:val="18"/>
              </w:rPr>
              <w:t>0.00%</w:t>
            </w:r>
          </w:p>
        </w:tc>
      </w:tr>
    </w:tbl>
    <w:p>
      <w:pPr>
        <w:spacing w:before="120"/>
      </w:pPr>
      <w:r>
        <w:t>Softmax Temperature Mechanics &amp; Attractor Basin Formation:</w:t>
        <w:br/>
        <w:t>Given raw model logits z_i, temperature scaling scales the logits by 1/T prior to normalization: P(w_i) = exp(z_i / T) / sum_j exp(z_j / T).</w:t>
        <w:br/>
        <w:t>• At low temperature (T = 0.2): Probability mass concentrates heavily on the mode (argmax). When recurrent states enter a cyclic transition matrix (such as 'in the matter of the...'), the deterministic argmax collapses into a closed Markovian attractor loop, resulting in high 3-gram repetition (up to 25.51% for Simple RNN and 25.03% for BiRNN).</w:t>
        <w:br/>
        <w:t>• At moderate temperature (T = 0.7): Distribution entropy expands sufficiently to escape local attractor basins while remaining concentrated enough to preserve Victorian grammatical syntax. This eliminates 3-gram repetition completely (0.00% across all models).</w:t>
        <w:br/>
        <w:t>• At high temperature (T = 1.2): Entropy approaches the uniform distribution over 4,378 tokens (H_max = 12.096 bits), causing sampling from the low-probability distributional tail and degrading syntactic coherence.</w:t>
      </w:r>
    </w:p>
    <w:p>
      <w:pPr>
        <w:spacing w:before="160" w:after="40"/>
        <w:jc w:val="center"/>
      </w:pPr>
      <w:r>
        <w:drawing>
          <wp:inline xmlns:a="http://schemas.openxmlformats.org/drawingml/2006/main" xmlns:pic="http://schemas.openxmlformats.org/drawingml/2006/picture">
            <wp:extent cx="5486400" cy="1714500"/>
            <wp:docPr id="10" name="Picture 10"/>
            <wp:cNvGraphicFramePr>
              <a:graphicFrameLocks noChangeAspect="1"/>
            </wp:cNvGraphicFramePr>
            <a:graphic>
              <a:graphicData uri="http://schemas.openxmlformats.org/drawingml/2006/picture">
                <pic:pic>
                  <pic:nvPicPr>
                    <pic:cNvPr id="0" name="qualitative_metrics.png"/>
                    <pic:cNvPicPr/>
                  </pic:nvPicPr>
                  <pic:blipFill>
                    <a:blip r:embed="rId18"/>
                    <a:stretch>
                      <a:fillRect/>
                    </a:stretch>
                  </pic:blipFill>
                  <pic:spPr>
                    <a:xfrm>
                      <a:off x="0" y="0"/>
                      <a:ext cx="5486400" cy="1714500"/>
                    </a:xfrm>
                    <a:prstGeom prst="rect"/>
                  </pic:spPr>
                </pic:pic>
              </a:graphicData>
            </a:graphic>
          </wp:inline>
        </w:drawing>
      </w:r>
    </w:p>
    <w:p>
      <w:pPr>
        <w:spacing w:after="200"/>
        <w:jc w:val="center"/>
      </w:pPr>
      <w:r>
        <w:rPr>
          <w:rFonts w:ascii="Arial" w:hAnsi="Arial"/>
          <w:i/>
          <w:color w:val="555555"/>
          <w:sz w:val="17"/>
        </w:rPr>
        <w:t>Figure 10: Multi-metric temperature response showing Distinct-1, Distinct-2, and Repetition Rate dynamics across T in {0.2, 0.7, 1.2}.</w:t>
      </w:r>
    </w:p>
    <w:p>
      <w:pPr>
        <w:pStyle w:val="Heading1"/>
      </w:pPr>
      <w:r>
        <w:rPr>
          <w:rFonts w:ascii="Arial" w:hAnsi="Arial"/>
          <w:b/>
          <w:color w:val="1B365D"/>
          <w:sz w:val="30"/>
        </w:rPr>
        <w:t>6. Qualitative Text Generation Samples (T = 0.7)</w:t>
      </w:r>
    </w:p>
    <w:p>
      <w:pPr>
        <w:spacing w:before="80" w:after="80"/>
      </w:pPr>
      <w:r>
        <w:rPr>
          <w:b/>
          <w:color w:val="1B365D"/>
          <w:sz w:val="19"/>
        </w:rPr>
        <w:t>[LSTM | Temperature = 0.7 | Seed: Seed 1]</w:t>
        <w:br/>
      </w:r>
      <w:r>
        <w:rPr>
          <w:i/>
          <w:sz w:val="18"/>
        </w:rPr>
        <w:t>"it was a dark and stormy night when i had not done the looking. i was not bad a word, said holmes. he would be staggered that i came by the evening of the inquiry s death, and i have been made. the"</w:t>
        <w:br/>
      </w:r>
      <w:r>
        <w:rPr>
          <w:color w:val="666666"/>
          <w:sz w:val="16"/>
        </w:rPr>
        <w:t>Metrics: Distinct-1 = 0.7368 | Distinct-2 = 1.0000 | Repetition Rate = 0.00%</w:t>
        <w:br/>
      </w:r>
    </w:p>
    <w:p>
      <w:pPr>
        <w:spacing w:before="80" w:after="80"/>
      </w:pPr>
      <w:r>
        <w:rPr>
          <w:b/>
          <w:color w:val="1B365D"/>
          <w:sz w:val="19"/>
        </w:rPr>
        <w:t>[LSTM | Temperature = 0.7 | Seed: Seed 2]</w:t>
        <w:br/>
      </w:r>
      <w:r>
        <w:rPr>
          <w:i/>
          <w:sz w:val="18"/>
        </w:rPr>
        <w:t>"holmes sat in silence for a few minutes and then said he was a small of in the north of the order in the fire, i had not been just a family, and i have been better by the matter. the lamp is a man s need,"</w:t>
        <w:br/>
      </w:r>
      <w:r>
        <w:rPr>
          <w:color w:val="666666"/>
          <w:sz w:val="16"/>
        </w:rPr>
        <w:t>Metrics: Distinct-1 = 0.6977 | Distinct-2 = 0.9762 | Repetition Rate = 0.00%</w:t>
        <w:br/>
      </w:r>
    </w:p>
    <w:p>
      <w:pPr>
        <w:spacing w:before="80" w:after="80"/>
      </w:pPr>
      <w:r>
        <w:rPr>
          <w:b/>
          <w:color w:val="1B365D"/>
          <w:sz w:val="19"/>
        </w:rPr>
        <w:t>[LSTM | Temperature = 0.7 | Seed: Seed 3]</w:t>
        <w:br/>
      </w:r>
      <w:r>
        <w:rPr>
          <w:i/>
          <w:sz w:val="18"/>
        </w:rPr>
        <w:t>"the police had discovered no clue regarding the mystery of the passage. but i am, and i have been already for his time, i remarked, remarked i imagine that i had no man upon the sufferer s s paper. i could not see that the"</w:t>
        <w:br/>
      </w:r>
      <w:r>
        <w:rPr>
          <w:color w:val="666666"/>
          <w:sz w:val="16"/>
        </w:rPr>
        <w:t>Metrics: Distinct-1 = 0.6750 | Distinct-2 = 1.0000 | Repetition Rate = 0.00%</w:t>
        <w:br/>
      </w:r>
    </w:p>
    <w:p>
      <w:pPr>
        <w:spacing w:before="80" w:after="80"/>
      </w:pPr>
      <w:r>
        <w:rPr>
          <w:b/>
          <w:color w:val="1B365D"/>
          <w:sz w:val="19"/>
        </w:rPr>
        <w:t>[GRU | Temperature = 0.7 | Seed: Seed 1]</w:t>
        <w:br/>
      </w:r>
      <w:r>
        <w:rPr>
          <w:i/>
          <w:sz w:val="18"/>
        </w:rPr>
        <w:t>"it was a dark and stormy night when a man later, and this herself choked, with a huge hair of great very town to the circumstances. we have now been able to the house, and two of the gale. but he had been"</w:t>
        <w:br/>
      </w:r>
      <w:r>
        <w:rPr>
          <w:color w:val="666666"/>
          <w:sz w:val="16"/>
        </w:rPr>
        <w:t>Metrics: Distinct-1 = 0.7632 | Distinct-2 = 0.9730 | Repetition Rate = 0.00%</w:t>
        <w:br/>
      </w:r>
    </w:p>
    <w:p>
      <w:pPr>
        <w:pStyle w:val="Heading1"/>
      </w:pPr>
      <w:r>
        <w:rPr>
          <w:rFonts w:ascii="Arial" w:hAnsi="Arial"/>
          <w:b/>
          <w:color w:val="1B365D"/>
          <w:sz w:val="30"/>
        </w:rPr>
        <w:t>7. Comparative Architecture Analysis &amp; Conclusions</w:t>
      </w:r>
    </w:p>
    <w:p>
      <w:pPr>
        <w:pStyle w:val="ListBullet"/>
        <w:spacing w:before="40" w:after="60"/>
      </w:pPr>
      <w:r>
        <w:rPr>
          <w:rFonts w:ascii="Arial" w:hAnsi="Arial"/>
          <w:b/>
          <w:color w:val="1B365D"/>
          <w:sz w:val="19"/>
        </w:rPr>
        <w:t xml:space="preserve">Champion Architecture (GRU): </w:t>
      </w:r>
      <w:r>
        <w:rPr>
          <w:rFonts w:ascii="Arial" w:hAnsi="Arial"/>
          <w:sz w:val="19"/>
        </w:rPr>
        <w:t>The Gated Recurrent Unit achieved the best quantitative performance across all metrics: lowest Test Loss (4.8602), lowest Test Perplexity (129.05), highest Top-1 Accuracy (17.86%), and highest Top-5 Accuracy (39.94%). Compared to random guessing over 4,378 tokens (0.0228%), the GRU is 783x more accurate. Its coupled update-reset gating enables effective long-range gradient propagation with fewer parameters (2.38M) than LSTM, avoiding parameter over-capacity on a 120k-token corpus.</w:t>
      </w:r>
    </w:p>
    <w:p>
      <w:pPr>
        <w:pStyle w:val="ListBullet"/>
        <w:spacing w:before="40" w:after="60"/>
      </w:pPr>
      <w:r>
        <w:rPr>
          <w:rFonts w:ascii="Arial" w:hAnsi="Arial"/>
          <w:b/>
          <w:color w:val="1B365D"/>
          <w:sz w:val="19"/>
        </w:rPr>
        <w:t xml:space="preserve">LSTM Competitiveness &amp; Speed: </w:t>
      </w:r>
      <w:r>
        <w:rPr>
          <w:rFonts w:ascii="Arial" w:hAnsi="Arial"/>
          <w:sz w:val="19"/>
        </w:rPr>
        <w:t>LSTM was the second-best model (Test Loss 4.8809, PPL 131.74, Top-1 Acc 17.22%, Top-5 Acc 38.59%) and exhibited the lowest inference latency (1.65 ms per batch), making it highly competitive for latency-critical deployment.</w:t>
      </w:r>
    </w:p>
    <w:p>
      <w:pPr>
        <w:pStyle w:val="ListBullet"/>
        <w:spacing w:before="40" w:after="60"/>
      </w:pPr>
      <w:r>
        <w:rPr>
          <w:rFonts w:ascii="Arial" w:hAnsi="Arial"/>
          <w:b/>
          <w:color w:val="1B365D"/>
          <w:sz w:val="19"/>
        </w:rPr>
        <w:t xml:space="preserve">Simple RNN Vanishing Gradients: </w:t>
      </w:r>
      <w:r>
        <w:rPr>
          <w:rFonts w:ascii="Arial" w:hAnsi="Arial"/>
          <w:sz w:val="19"/>
        </w:rPr>
        <w:t>The un-gated Simple RNN suffered from severe vanishing gradients across the 20-token horizon, yielding the highest Test Perplexity (159.28) and lowest accuracy (Top-1 16.35%). At low temperature (T=0.2), Simple RNN succumbed to severe degenerate repetition loops (25.51% 3-gram repetition).</w:t>
      </w:r>
    </w:p>
    <w:p>
      <w:pPr>
        <w:pStyle w:val="ListBullet"/>
        <w:spacing w:before="40" w:after="60"/>
      </w:pPr>
      <w:r>
        <w:rPr>
          <w:rFonts w:ascii="Arial" w:hAnsi="Arial"/>
          <w:b/>
          <w:color w:val="1B365D"/>
          <w:sz w:val="19"/>
        </w:rPr>
        <w:t xml:space="preserve">Bidirectional RNN Causal Mismatch: </w:t>
      </w:r>
      <w:r>
        <w:rPr>
          <w:rFonts w:ascii="Arial" w:hAnsi="Arial"/>
          <w:sz w:val="19"/>
        </w:rPr>
        <w:t>BiRNN achieved reasonable training metrics but is structurally incompatible with autoregressive generation: bidirectional encoding conditions on future tokens during training, while taking out[:, -1, :] during next-word prediction causes the backward branch to only see the final token. This causal mismatch produced high repetition loops (25.03% at T=0.2).</w:t>
      </w:r>
    </w:p>
    <w:p>
      <w:pPr>
        <w:pStyle w:val="ListBullet"/>
        <w:spacing w:before="40" w:after="60"/>
      </w:pPr>
      <w:r>
        <w:rPr>
          <w:rFonts w:ascii="Arial" w:hAnsi="Arial"/>
          <w:b/>
          <w:color w:val="1B365D"/>
          <w:sz w:val="19"/>
        </w:rPr>
        <w:t xml:space="preserve">Optimal Operational Temperature (T = 0.7): </w:t>
      </w:r>
      <w:r>
        <w:rPr>
          <w:rFonts w:ascii="Arial" w:hAnsi="Arial"/>
          <w:sz w:val="19"/>
        </w:rPr>
        <w:t>Temperature T = 0.7 represents the empirical sweet spot between coherence and diversity: Distinct-1 reached 0.70-0.80, Distinct-2 reached 0.96-0.99, and 3-gram repetition was completely eradicated (0.00% across all models). In contrast, T = 0.2 causes repetitive mode collapse, while T = 1.2 induces syntactic disintegration.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