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1B365D"/>
          <w:sz w:val="34"/>
        </w:rPr>
        <w:t>Foundations of Generative AI (ICT4403)</w:t>
        <w:br/>
        <w:t>Assignment 2: Comparative Autoregressive Text Generation</w:t>
      </w:r>
    </w:p>
    <w:p>
      <w:pPr>
        <w:spacing w:after="240"/>
        <w:jc w:val="center"/>
      </w:pPr>
      <w:r>
        <w:rPr>
          <w:rFonts w:ascii="Arial" w:hAnsi="Arial"/>
          <w:i/>
          <w:color w:val="555555"/>
          <w:sz w:val="22"/>
        </w:rPr>
        <w:t>Research-Grade Exploratory Data Analysis, Recurrent Neural Architectures, and Empirical Generation Dynamics</w:t>
      </w:r>
    </w:p>
    <w:p>
      <w:pPr>
        <w:pStyle w:val="Heading1"/>
      </w:pPr>
      <w:r>
        <w:rPr>
          <w:rFonts w:ascii="Arial" w:hAnsi="Arial"/>
          <w:b/>
          <w:color w:val="1B365D"/>
          <w:sz w:val="30"/>
        </w:rPr>
        <w:t>1. Mandatory Submission Identification</w:t>
      </w:r>
    </w:p>
    <w:tbl>
      <w:tblPr>
        <w:tblStyle w:val="TableGrid"/>
        <w:tblW w:type="auto" w:w="0"/>
        <w:tblLook w:firstColumn="1" w:firstRow="1" w:lastColumn="0" w:lastRow="0" w:noHBand="0" w:noVBand="1" w:val="04A0"/>
      </w:tblPr>
      <w:tblGrid>
        <w:gridCol w:w="5040"/>
        <w:gridCol w:w="5040"/>
      </w:tblGrid>
      <w:tr>
        <w:tc>
          <w:tcPr>
            <w:tcW w:type="dxa" w:w="3168"/>
          </w:tcPr>
          <w:p>
            <w:r>
              <w:rPr>
                <w:rFonts w:ascii="Arial" w:hAnsi="Arial"/>
                <w:b/>
                <w:sz w:val="19"/>
              </w:rPr>
              <w:t>Student Full Name</w:t>
            </w:r>
          </w:p>
        </w:tc>
        <w:tc>
          <w:tcPr>
            <w:tcW w:type="dxa" w:w="6912"/>
          </w:tcPr>
          <w:p>
            <w:r>
              <w:rPr>
                <w:rFonts w:ascii="Arial" w:hAnsi="Arial"/>
                <w:sz w:val="19"/>
              </w:rPr>
              <w:t>Varanasi Naga Akhil</w:t>
            </w:r>
          </w:p>
        </w:tc>
      </w:tr>
      <w:tr>
        <w:tc>
          <w:tcPr>
            <w:tcW w:type="dxa" w:w="3168"/>
          </w:tcPr>
          <w:p>
            <w:r>
              <w:rPr>
                <w:rFonts w:ascii="Arial" w:hAnsi="Arial"/>
                <w:b/>
                <w:sz w:val="19"/>
              </w:rPr>
              <w:t>Registration Number</w:t>
            </w:r>
          </w:p>
        </w:tc>
        <w:tc>
          <w:tcPr>
            <w:tcW w:type="dxa" w:w="6912"/>
          </w:tcPr>
          <w:p>
            <w:r>
              <w:rPr>
                <w:rFonts w:ascii="Arial" w:hAnsi="Arial"/>
                <w:sz w:val="19"/>
              </w:rPr>
              <w:t>230953496</w:t>
            </w:r>
          </w:p>
        </w:tc>
      </w:tr>
      <w:tr>
        <w:tc>
          <w:tcPr>
            <w:tcW w:type="dxa" w:w="3168"/>
          </w:tcPr>
          <w:p>
            <w:r>
              <w:rPr>
                <w:rFonts w:ascii="Arial" w:hAnsi="Arial"/>
                <w:b/>
                <w:sz w:val="19"/>
              </w:rPr>
              <w:t>Course &amp; Assignment</w:t>
            </w:r>
          </w:p>
        </w:tc>
        <w:tc>
          <w:tcPr>
            <w:tcW w:type="dxa" w:w="6912"/>
          </w:tcPr>
          <w:p>
            <w:r>
              <w:rPr>
                <w:rFonts w:ascii="Arial" w:hAnsi="Arial"/>
                <w:sz w:val="19"/>
              </w:rPr>
              <w:t>Foundations of Generative AI (ICT4403) - Assignment 2</w:t>
            </w:r>
          </w:p>
        </w:tc>
      </w:tr>
      <w:tr>
        <w:tc>
          <w:tcPr>
            <w:tcW w:type="dxa" w:w="3168"/>
          </w:tcPr>
          <w:p>
            <w:r>
              <w:rPr>
                <w:rFonts w:ascii="Arial" w:hAnsi="Arial"/>
                <w:b/>
                <w:sz w:val="19"/>
              </w:rPr>
              <w:t>System Architecture Title</w:t>
            </w:r>
          </w:p>
        </w:tc>
        <w:tc>
          <w:tcPr>
            <w:tcW w:type="dxa" w:w="6912"/>
          </w:tcPr>
          <w:p>
            <w:r>
              <w:rPr>
                <w:rFonts w:ascii="Arial" w:hAnsi="Arial"/>
                <w:sz w:val="19"/>
              </w:rPr>
              <w:t>Autoregressive Text Generation System using Simple RNN, Bidirectional RNN, LSTM, and GRU</w:t>
            </w:r>
          </w:p>
        </w:tc>
      </w:tr>
      <w:tr>
        <w:tc>
          <w:tcPr>
            <w:tcW w:type="dxa" w:w="3168"/>
          </w:tcPr>
          <w:p>
            <w:r>
              <w:rPr>
                <w:rFonts w:ascii="Arial" w:hAnsi="Arial"/>
                <w:b/>
                <w:sz w:val="19"/>
              </w:rPr>
              <w:t>Dataset Name &amp; Source URL</w:t>
            </w:r>
          </w:p>
        </w:tc>
        <w:tc>
          <w:tcPr>
            <w:tcW w:type="dxa" w:w="6912"/>
          </w:tcPr>
          <w:p>
            <w:r>
              <w:rPr>
                <w:rFonts w:ascii="Arial" w:hAnsi="Arial"/>
                <w:color w:val="0055AA"/>
                <w:sz w:val="19"/>
                <w:u w:val="single"/>
              </w:rPr>
              <w:t>The Adventures of Sherlock Holmes by Sir Arthur Conan Doyle (Project Gutenberg eBook #1661)</w:t>
              <w:br/>
              <w:t>URL: https://www.gutenberg.org/ebooks/1661</w:t>
            </w:r>
          </w:p>
        </w:tc>
      </w:tr>
      <w:tr>
        <w:tc>
          <w:tcPr>
            <w:tcW w:type="dxa" w:w="3168"/>
          </w:tcPr>
          <w:p>
            <w:r>
              <w:rPr>
                <w:rFonts w:ascii="Arial" w:hAnsi="Arial"/>
                <w:b/>
                <w:sz w:val="19"/>
              </w:rPr>
              <w:t>GitHub Repository Link</w:t>
            </w:r>
          </w:p>
        </w:tc>
        <w:tc>
          <w:tcPr>
            <w:tcW w:type="dxa" w:w="6912"/>
          </w:tcPr>
          <w:p>
            <w:r>
              <w:rPr>
                <w:rFonts w:ascii="Arial" w:hAnsi="Arial"/>
                <w:color w:val="0055AA"/>
                <w:sz w:val="19"/>
                <w:u w:val="single"/>
              </w:rPr>
              <w:t>https://github.com/AkCodes23/FGAI_Assignment.git</w:t>
            </w:r>
          </w:p>
        </w:tc>
      </w:tr>
    </w:tbl>
    <w:p/>
    <w:p>
      <w:pPr>
        <w:pStyle w:val="Heading1"/>
      </w:pPr>
      <w:r>
        <w:rPr>
          <w:rFonts w:ascii="Arial" w:hAnsi="Arial"/>
          <w:b/>
          <w:color w:val="1B365D"/>
          <w:sz w:val="30"/>
        </w:rPr>
        <w:t>2. End-to-End System Architecture</w:t>
      </w:r>
    </w:p>
    <w:p>
      <w:pPr>
        <w:spacing w:after="120"/>
      </w:pPr>
      <w:r>
        <w:t>The autoregressive text generation system processes raw literary text into a clean sequence of discrete tokens, constructs causal sliding-window training pairs, maps tokens into continuous dense embeddings, and trains four controlled recurrent neural architectures (Simple RNN, Bidirectional RNN, LSTM, and GRU) to sequentially model the conditional probability distribution P(w_{t+1} | w_1, ..., w_t). At inference time, temperature-controlled stochastic sampling generates multi-sentence narrative continuations while enforcing special-token masking to prevent degenerate outputs.</w:t>
      </w:r>
    </w:p>
    <w:p>
      <w:pPr>
        <w:spacing w:before="160" w:after="40"/>
        <w:jc w:val="center"/>
      </w:pPr>
      <w:r>
        <w:drawing>
          <wp:inline xmlns:a="http://schemas.openxmlformats.org/drawingml/2006/main" xmlns:pic="http://schemas.openxmlformats.org/drawingml/2006/picture">
            <wp:extent cx="5669280" cy="3222109"/>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5669280" cy="3222109"/>
                    </a:xfrm>
                    <a:prstGeom prst="rect"/>
                  </pic:spPr>
                </pic:pic>
              </a:graphicData>
            </a:graphic>
          </wp:inline>
        </w:drawing>
      </w:r>
    </w:p>
    <w:p>
      <w:pPr>
        <w:spacing w:after="200"/>
        <w:jc w:val="center"/>
      </w:pPr>
      <w:r>
        <w:rPr>
          <w:rFonts w:ascii="Arial" w:hAnsi="Arial"/>
          <w:i/>
          <w:color w:val="555555"/>
          <w:sz w:val="17"/>
        </w:rPr>
        <w:t>Figure 1: End-to-end modular system architecture showing data ingestion, embedding projection, recurrent latent encoding, and controlled stochastic autoregressive generation.</w:t>
      </w:r>
    </w:p>
    <w:p>
      <w:pPr>
        <w:pStyle w:val="Heading1"/>
      </w:pPr>
      <w:r>
        <w:rPr>
          <w:rFonts w:ascii="Arial" w:hAnsi="Arial"/>
          <w:b/>
          <w:color w:val="1B365D"/>
          <w:sz w:val="30"/>
        </w:rPr>
        <w:t>3. Exploratory Data Analysis (EDA) &amp; Corpus Diagnostics</w:t>
      </w:r>
    </w:p>
    <w:p>
      <w:pPr>
        <w:spacing w:after="120"/>
      </w:pPr>
      <w:r>
        <w:t>A rigorous exploratory data analysis was conducted on The Adventures of Sherlock Holmes to characterize its lexical distribution, information entropy, sentence length dynamics, and vocabulary coverage. These statistical properties directly informed our hyperparameter choices for context sequence length (L = 20) and vocabulary cutoff (V = 4,378).</w:t>
      </w:r>
    </w:p>
    <w:p>
      <w:pPr>
        <w:pStyle w:val="Heading2"/>
      </w:pPr>
      <w:r>
        <w:rPr>
          <w:rFonts w:ascii="Arial" w:hAnsi="Arial"/>
          <w:b/>
          <w:color w:val="2C3E50"/>
          <w:sz w:val="25"/>
        </w:rPr>
        <w:t>3.1 Descriptive Corpus &amp; Information-Theoretic Metrics</w:t>
      </w:r>
    </w:p>
    <w:tbl>
      <w:tblPr>
        <w:tblStyle w:val="TableGrid"/>
        <w:tblW w:type="auto" w:w="0"/>
        <w:jc w:val="center"/>
        <w:tblLook w:firstColumn="1" w:firstRow="1" w:lastColumn="0" w:lastRow="0" w:noHBand="0" w:noVBand="1" w:val="04A0"/>
      </w:tblPr>
      <w:tblGrid>
        <w:gridCol w:w="5040"/>
        <w:gridCol w:w="5040"/>
      </w:tblGrid>
      <w:tr>
        <w:tc>
          <w:tcPr>
            <w:tcW w:type="dxa" w:w="5184"/>
            <w:shd w:fill="1B365D"/>
          </w:tcPr>
          <w:p>
            <w:pPr>
              <w:spacing w:before="60" w:after="60"/>
            </w:pPr>
            <w:r>
              <w:rPr>
                <w:rFonts w:ascii="Arial" w:hAnsi="Arial"/>
                <w:b/>
                <w:color w:val="FFFFFF"/>
                <w:sz w:val="18"/>
              </w:rPr>
              <w:t>Statistical / Information-Theoretic Metric</w:t>
            </w:r>
          </w:p>
        </w:tc>
        <w:tc>
          <w:tcPr>
            <w:tcW w:type="dxa" w:w="4896"/>
            <w:shd w:fill="1B365D"/>
          </w:tcPr>
          <w:p>
            <w:pPr>
              <w:spacing w:before="60" w:after="60"/>
            </w:pPr>
            <w:r>
              <w:rPr>
                <w:rFonts w:ascii="Arial" w:hAnsi="Arial"/>
                <w:b/>
                <w:color w:val="FFFFFF"/>
                <w:sz w:val="18"/>
              </w:rPr>
              <w:t>Empirical Value (Sherlock Holmes Corpus)</w:t>
            </w:r>
          </w:p>
        </w:tc>
      </w:tr>
      <w:tr>
        <w:tc>
          <w:tcPr>
            <w:tcW w:type="dxa" w:w="5184"/>
          </w:tcPr>
          <w:p>
            <w:pPr>
              <w:spacing w:before="60" w:after="60"/>
            </w:pPr>
            <w:r>
              <w:rPr>
                <w:rFonts w:ascii="Arial" w:hAnsi="Arial"/>
                <w:sz w:val="18"/>
              </w:rPr>
              <w:t>Raw Characters</w:t>
            </w:r>
          </w:p>
        </w:tc>
        <w:tc>
          <w:tcPr>
            <w:tcW w:type="dxa" w:w="4896"/>
          </w:tcPr>
          <w:p>
            <w:pPr>
              <w:spacing w:before="60" w:after="60"/>
            </w:pPr>
            <w:r>
              <w:rPr>
                <w:rFonts w:ascii="Arial" w:hAnsi="Arial"/>
                <w:sz w:val="18"/>
              </w:rPr>
              <w:t>593,731</w:t>
            </w:r>
          </w:p>
        </w:tc>
      </w:tr>
      <w:tr>
        <w:tc>
          <w:tcPr>
            <w:tcW w:type="dxa" w:w="5184"/>
          </w:tcPr>
          <w:p>
            <w:pPr>
              <w:spacing w:before="60" w:after="60"/>
            </w:pPr>
            <w:r>
              <w:rPr>
                <w:rFonts w:ascii="Arial" w:hAnsi="Arial"/>
                <w:sz w:val="18"/>
              </w:rPr>
              <w:t>Clean Characters</w:t>
            </w:r>
          </w:p>
        </w:tc>
        <w:tc>
          <w:tcPr>
            <w:tcW w:type="dxa" w:w="4896"/>
          </w:tcPr>
          <w:p>
            <w:pPr>
              <w:spacing w:before="60" w:after="60"/>
            </w:pPr>
            <w:r>
              <w:rPr>
                <w:rFonts w:ascii="Arial" w:hAnsi="Arial"/>
                <w:sz w:val="18"/>
              </w:rPr>
              <w:t>574,143</w:t>
            </w:r>
          </w:p>
        </w:tc>
      </w:tr>
      <w:tr>
        <w:tc>
          <w:tcPr>
            <w:tcW w:type="dxa" w:w="5184"/>
          </w:tcPr>
          <w:p>
            <w:pPr>
              <w:spacing w:before="60" w:after="60"/>
            </w:pPr>
            <w:r>
              <w:rPr>
                <w:rFonts w:ascii="Arial" w:hAnsi="Arial"/>
                <w:sz w:val="18"/>
              </w:rPr>
              <w:t>Total Corpus Tokens</w:t>
            </w:r>
          </w:p>
        </w:tc>
        <w:tc>
          <w:tcPr>
            <w:tcW w:type="dxa" w:w="4896"/>
          </w:tcPr>
          <w:p>
            <w:pPr>
              <w:spacing w:before="60" w:after="60"/>
            </w:pPr>
            <w:r>
              <w:rPr>
                <w:rFonts w:ascii="Arial" w:hAnsi="Arial"/>
                <w:sz w:val="18"/>
              </w:rPr>
              <w:t>121,822</w:t>
            </w:r>
          </w:p>
        </w:tc>
      </w:tr>
      <w:tr>
        <w:tc>
          <w:tcPr>
            <w:tcW w:type="dxa" w:w="5184"/>
          </w:tcPr>
          <w:p>
            <w:pPr>
              <w:spacing w:before="60" w:after="60"/>
            </w:pPr>
            <w:r>
              <w:rPr>
                <w:rFonts w:ascii="Arial" w:hAnsi="Arial"/>
                <w:sz w:val="18"/>
              </w:rPr>
              <w:t>Unique Tokens (Raw Vocabulary)</w:t>
            </w:r>
          </w:p>
        </w:tc>
        <w:tc>
          <w:tcPr>
            <w:tcW w:type="dxa" w:w="4896"/>
          </w:tcPr>
          <w:p>
            <w:pPr>
              <w:spacing w:before="60" w:after="60"/>
            </w:pPr>
            <w:r>
              <w:rPr>
                <w:rFonts w:ascii="Arial" w:hAnsi="Arial"/>
                <w:sz w:val="18"/>
              </w:rPr>
              <w:t>7,826</w:t>
            </w:r>
          </w:p>
        </w:tc>
      </w:tr>
      <w:tr>
        <w:tc>
          <w:tcPr>
            <w:tcW w:type="dxa" w:w="5184"/>
          </w:tcPr>
          <w:p>
            <w:pPr>
              <w:spacing w:before="60" w:after="60"/>
            </w:pPr>
            <w:r>
              <w:rPr>
                <w:rFonts w:ascii="Arial" w:hAnsi="Arial"/>
                <w:sz w:val="18"/>
              </w:rPr>
              <w:t>Effective Model Vocabulary Size</w:t>
            </w:r>
          </w:p>
        </w:tc>
        <w:tc>
          <w:tcPr>
            <w:tcW w:type="dxa" w:w="4896"/>
          </w:tcPr>
          <w:p>
            <w:pPr>
              <w:spacing w:before="60" w:after="60"/>
            </w:pPr>
            <w:r>
              <w:rPr>
                <w:rFonts w:ascii="Arial" w:hAnsi="Arial"/>
                <w:sz w:val="18"/>
              </w:rPr>
              <w:t>4,378</w:t>
            </w:r>
          </w:p>
        </w:tc>
      </w:tr>
      <w:tr>
        <w:tc>
          <w:tcPr>
            <w:tcW w:type="dxa" w:w="5184"/>
          </w:tcPr>
          <w:p>
            <w:pPr>
              <w:spacing w:before="60" w:after="60"/>
            </w:pPr>
            <w:r>
              <w:rPr>
                <w:rFonts w:ascii="Arial" w:hAnsi="Arial"/>
                <w:sz w:val="18"/>
              </w:rPr>
              <w:t>Type-Token Ratio (TTR)</w:t>
            </w:r>
          </w:p>
        </w:tc>
        <w:tc>
          <w:tcPr>
            <w:tcW w:type="dxa" w:w="4896"/>
          </w:tcPr>
          <w:p>
            <w:pPr>
              <w:spacing w:before="60" w:after="60"/>
            </w:pPr>
            <w:r>
              <w:rPr>
                <w:rFonts w:ascii="Arial" w:hAnsi="Arial"/>
                <w:sz w:val="18"/>
              </w:rPr>
              <w:t>0.0642</w:t>
            </w:r>
          </w:p>
        </w:tc>
      </w:tr>
      <w:tr>
        <w:tc>
          <w:tcPr>
            <w:tcW w:type="dxa" w:w="5184"/>
          </w:tcPr>
          <w:p>
            <w:pPr>
              <w:spacing w:before="60" w:after="60"/>
            </w:pPr>
            <w:r>
              <w:rPr>
                <w:rFonts w:ascii="Arial" w:hAnsi="Arial"/>
                <w:sz w:val="18"/>
              </w:rPr>
              <w:t>Guiraud's Index (Root TTR)</w:t>
            </w:r>
          </w:p>
        </w:tc>
        <w:tc>
          <w:tcPr>
            <w:tcW w:type="dxa" w:w="4896"/>
          </w:tcPr>
          <w:p>
            <w:pPr>
              <w:spacing w:before="60" w:after="60"/>
            </w:pPr>
            <w:r>
              <w:rPr>
                <w:rFonts w:ascii="Arial" w:hAnsi="Arial"/>
                <w:sz w:val="18"/>
              </w:rPr>
              <w:t>22.42</w:t>
            </w:r>
          </w:p>
        </w:tc>
      </w:tr>
      <w:tr>
        <w:tc>
          <w:tcPr>
            <w:tcW w:type="dxa" w:w="5184"/>
          </w:tcPr>
          <w:p>
            <w:pPr>
              <w:spacing w:before="60" w:after="60"/>
            </w:pPr>
            <w:r>
              <w:rPr>
                <w:rFonts w:ascii="Arial" w:hAnsi="Arial"/>
                <w:sz w:val="18"/>
              </w:rPr>
              <w:t>Hapax Legomena Count (freq = 1)</w:t>
            </w:r>
          </w:p>
        </w:tc>
        <w:tc>
          <w:tcPr>
            <w:tcW w:type="dxa" w:w="4896"/>
          </w:tcPr>
          <w:p>
            <w:pPr>
              <w:spacing w:before="60" w:after="60"/>
            </w:pPr>
            <w:r>
              <w:rPr>
                <w:rFonts w:ascii="Arial" w:hAnsi="Arial"/>
                <w:sz w:val="18"/>
              </w:rPr>
              <w:t>3,452 (44.11%)</w:t>
            </w:r>
          </w:p>
        </w:tc>
      </w:tr>
      <w:tr>
        <w:tc>
          <w:tcPr>
            <w:tcW w:type="dxa" w:w="5184"/>
          </w:tcPr>
          <w:p>
            <w:pPr>
              <w:spacing w:before="60" w:after="60"/>
            </w:pPr>
            <w:r>
              <w:rPr>
                <w:rFonts w:ascii="Arial" w:hAnsi="Arial"/>
                <w:sz w:val="18"/>
              </w:rPr>
              <w:t>Dis Legomena Count (freq = 2)</w:t>
            </w:r>
          </w:p>
        </w:tc>
        <w:tc>
          <w:tcPr>
            <w:tcW w:type="dxa" w:w="4896"/>
          </w:tcPr>
          <w:p>
            <w:pPr>
              <w:spacing w:before="60" w:after="60"/>
            </w:pPr>
            <w:r>
              <w:rPr>
                <w:rFonts w:ascii="Arial" w:hAnsi="Arial"/>
                <w:sz w:val="18"/>
              </w:rPr>
              <w:t>1,247 (15.93%)</w:t>
            </w:r>
          </w:p>
        </w:tc>
      </w:tr>
      <w:tr>
        <w:tc>
          <w:tcPr>
            <w:tcW w:type="dxa" w:w="5184"/>
          </w:tcPr>
          <w:p>
            <w:pPr>
              <w:spacing w:before="60" w:after="60"/>
            </w:pPr>
            <w:r>
              <w:rPr>
                <w:rFonts w:ascii="Arial" w:hAnsi="Arial"/>
                <w:sz w:val="18"/>
              </w:rPr>
              <w:t>Unigram Shannon Entropy</w:t>
            </w:r>
          </w:p>
        </w:tc>
        <w:tc>
          <w:tcPr>
            <w:tcW w:type="dxa" w:w="4896"/>
          </w:tcPr>
          <w:p>
            <w:pPr>
              <w:spacing w:before="60" w:after="60"/>
            </w:pPr>
            <w:r>
              <w:rPr>
                <w:rFonts w:ascii="Arial" w:hAnsi="Arial"/>
                <w:sz w:val="18"/>
              </w:rPr>
              <w:t>8.7852 bits/token</w:t>
            </w:r>
          </w:p>
        </w:tc>
      </w:tr>
      <w:tr>
        <w:tc>
          <w:tcPr>
            <w:tcW w:type="dxa" w:w="5184"/>
          </w:tcPr>
          <w:p>
            <w:pPr>
              <w:spacing w:before="60" w:after="60"/>
            </w:pPr>
            <w:r>
              <w:rPr>
                <w:rFonts w:ascii="Arial" w:hAnsi="Arial"/>
                <w:sz w:val="18"/>
              </w:rPr>
              <w:t>Theoretical Zeroth-Order Perplexity</w:t>
            </w:r>
          </w:p>
        </w:tc>
        <w:tc>
          <w:tcPr>
            <w:tcW w:type="dxa" w:w="4896"/>
          </w:tcPr>
          <w:p>
            <w:pPr>
              <w:spacing w:before="60" w:after="60"/>
            </w:pPr>
            <w:r>
              <w:rPr>
                <w:rFonts w:ascii="Arial" w:hAnsi="Arial"/>
                <w:sz w:val="18"/>
              </w:rPr>
              <w:t>441.17</w:t>
            </w:r>
          </w:p>
        </w:tc>
      </w:tr>
      <w:tr>
        <w:tc>
          <w:tcPr>
            <w:tcW w:type="dxa" w:w="5184"/>
          </w:tcPr>
          <w:p>
            <w:pPr>
              <w:spacing w:before="60" w:after="60"/>
            </w:pPr>
            <w:r>
              <w:rPr>
                <w:rFonts w:ascii="Arial" w:hAnsi="Arial"/>
                <w:sz w:val="18"/>
              </w:rPr>
              <w:t>Empirical Zipf Exponent (alpha)</w:t>
            </w:r>
          </w:p>
        </w:tc>
        <w:tc>
          <w:tcPr>
            <w:tcW w:type="dxa" w:w="4896"/>
          </w:tcPr>
          <w:p>
            <w:pPr>
              <w:spacing w:before="60" w:after="60"/>
            </w:pPr>
            <w:r>
              <w:rPr>
                <w:rFonts w:ascii="Arial" w:hAnsi="Arial"/>
                <w:sz w:val="18"/>
              </w:rPr>
              <w:t>1.1161</w:t>
            </w:r>
          </w:p>
        </w:tc>
      </w:tr>
      <w:tr>
        <w:tc>
          <w:tcPr>
            <w:tcW w:type="dxa" w:w="5184"/>
          </w:tcPr>
          <w:p>
            <w:pPr>
              <w:spacing w:before="60" w:after="60"/>
            </w:pPr>
            <w:r>
              <w:rPr>
                <w:rFonts w:ascii="Arial" w:hAnsi="Arial"/>
                <w:sz w:val="18"/>
              </w:rPr>
              <w:t>Zipf Power Law Fit R^2</w:t>
            </w:r>
          </w:p>
        </w:tc>
        <w:tc>
          <w:tcPr>
            <w:tcW w:type="dxa" w:w="4896"/>
          </w:tcPr>
          <w:p>
            <w:pPr>
              <w:spacing w:before="60" w:after="60"/>
            </w:pPr>
            <w:r>
              <w:rPr>
                <w:rFonts w:ascii="Arial" w:hAnsi="Arial"/>
                <w:sz w:val="18"/>
              </w:rPr>
              <w:t>0.9966</w:t>
            </w:r>
          </w:p>
        </w:tc>
      </w:tr>
      <w:tr>
        <w:tc>
          <w:tcPr>
            <w:tcW w:type="dxa" w:w="5184"/>
          </w:tcPr>
          <w:p>
            <w:pPr>
              <w:spacing w:before="60" w:after="60"/>
            </w:pPr>
            <w:r>
              <w:rPr>
                <w:rFonts w:ascii="Arial" w:hAnsi="Arial"/>
                <w:sz w:val="18"/>
              </w:rPr>
              <w:t>Top 50% Token Coverage Threshold</w:t>
            </w:r>
          </w:p>
        </w:tc>
        <w:tc>
          <w:tcPr>
            <w:tcW w:type="dxa" w:w="4896"/>
          </w:tcPr>
          <w:p>
            <w:pPr>
              <w:spacing w:before="60" w:after="60"/>
            </w:pPr>
            <w:r>
              <w:rPr>
                <w:rFonts w:ascii="Arial" w:hAnsi="Arial"/>
                <w:sz w:val="18"/>
              </w:rPr>
              <w:t>Top 40 words</w:t>
            </w:r>
          </w:p>
        </w:tc>
      </w:tr>
      <w:tr>
        <w:tc>
          <w:tcPr>
            <w:tcW w:type="dxa" w:w="5184"/>
          </w:tcPr>
          <w:p>
            <w:pPr>
              <w:spacing w:before="60" w:after="60"/>
            </w:pPr>
            <w:r>
              <w:rPr>
                <w:rFonts w:ascii="Arial" w:hAnsi="Arial"/>
                <w:sz w:val="18"/>
              </w:rPr>
              <w:t>Top 80% Token Coverage Threshold</w:t>
            </w:r>
          </w:p>
        </w:tc>
        <w:tc>
          <w:tcPr>
            <w:tcW w:type="dxa" w:w="4896"/>
          </w:tcPr>
          <w:p>
            <w:pPr>
              <w:spacing w:before="60" w:after="60"/>
            </w:pPr>
            <w:r>
              <w:rPr>
                <w:rFonts w:ascii="Arial" w:hAnsi="Arial"/>
                <w:sz w:val="18"/>
              </w:rPr>
              <w:t>Top 517 words</w:t>
            </w:r>
          </w:p>
        </w:tc>
      </w:tr>
      <w:tr>
        <w:tc>
          <w:tcPr>
            <w:tcW w:type="dxa" w:w="5184"/>
          </w:tcPr>
          <w:p>
            <w:pPr>
              <w:spacing w:before="60" w:after="60"/>
            </w:pPr>
            <w:r>
              <w:rPr>
                <w:rFonts w:ascii="Arial" w:hAnsi="Arial"/>
                <w:sz w:val="18"/>
              </w:rPr>
              <w:t>Top 95% Token Coverage Threshold</w:t>
            </w:r>
          </w:p>
        </w:tc>
        <w:tc>
          <w:tcPr>
            <w:tcW w:type="dxa" w:w="4896"/>
          </w:tcPr>
          <w:p>
            <w:pPr>
              <w:spacing w:before="60" w:after="60"/>
            </w:pPr>
            <w:r>
              <w:rPr>
                <w:rFonts w:ascii="Arial" w:hAnsi="Arial"/>
                <w:sz w:val="18"/>
              </w:rPr>
              <w:t>Top 3079 words</w:t>
            </w:r>
          </w:p>
        </w:tc>
      </w:tr>
      <w:tr>
        <w:tc>
          <w:tcPr>
            <w:tcW w:type="dxa" w:w="5184"/>
          </w:tcPr>
          <w:p>
            <w:pPr>
              <w:spacing w:before="60" w:after="60"/>
            </w:pPr>
            <w:r>
              <w:rPr>
                <w:rFonts w:ascii="Arial" w:hAnsi="Arial"/>
                <w:sz w:val="18"/>
              </w:rPr>
              <w:t>Total Sentences Extracted</w:t>
            </w:r>
          </w:p>
        </w:tc>
        <w:tc>
          <w:tcPr>
            <w:tcW w:type="dxa" w:w="4896"/>
          </w:tcPr>
          <w:p>
            <w:pPr>
              <w:spacing w:before="60" w:after="60"/>
            </w:pPr>
            <w:r>
              <w:rPr>
                <w:rFonts w:ascii="Arial" w:hAnsi="Arial"/>
                <w:sz w:val="18"/>
              </w:rPr>
              <w:t>5,144</w:t>
            </w:r>
          </w:p>
        </w:tc>
      </w:tr>
      <w:tr>
        <w:tc>
          <w:tcPr>
            <w:tcW w:type="dxa" w:w="5184"/>
          </w:tcPr>
          <w:p>
            <w:pPr>
              <w:spacing w:before="60" w:after="60"/>
            </w:pPr>
            <w:r>
              <w:rPr>
                <w:rFonts w:ascii="Arial" w:hAnsi="Arial"/>
                <w:sz w:val="18"/>
              </w:rPr>
              <w:t>Mean Sentence Length</w:t>
            </w:r>
          </w:p>
        </w:tc>
        <w:tc>
          <w:tcPr>
            <w:tcW w:type="dxa" w:w="4896"/>
          </w:tcPr>
          <w:p>
            <w:pPr>
              <w:spacing w:before="60" w:after="60"/>
            </w:pPr>
            <w:r>
              <w:rPr>
                <w:rFonts w:ascii="Arial" w:hAnsi="Arial"/>
                <w:sz w:val="18"/>
              </w:rPr>
              <w:t>20.41 ± 15.22 words</w:t>
            </w:r>
          </w:p>
        </w:tc>
      </w:tr>
      <w:tr>
        <w:tc>
          <w:tcPr>
            <w:tcW w:type="dxa" w:w="5184"/>
          </w:tcPr>
          <w:p>
            <w:pPr>
              <w:spacing w:before="60" w:after="60"/>
            </w:pPr>
            <w:r>
              <w:rPr>
                <w:rFonts w:ascii="Arial" w:hAnsi="Arial"/>
                <w:sz w:val="18"/>
              </w:rPr>
              <w:t>Median Sentence Length</w:t>
            </w:r>
          </w:p>
        </w:tc>
        <w:tc>
          <w:tcPr>
            <w:tcW w:type="dxa" w:w="4896"/>
          </w:tcPr>
          <w:p>
            <w:pPr>
              <w:spacing w:before="60" w:after="60"/>
            </w:pPr>
            <w:r>
              <w:rPr>
                <w:rFonts w:ascii="Arial" w:hAnsi="Arial"/>
                <w:sz w:val="18"/>
              </w:rPr>
              <w:t>17.0 words</w:t>
            </w:r>
          </w:p>
        </w:tc>
      </w:tr>
      <w:tr>
        <w:tc>
          <w:tcPr>
            <w:tcW w:type="dxa" w:w="5184"/>
          </w:tcPr>
          <w:p>
            <w:pPr>
              <w:spacing w:before="60" w:after="60"/>
            </w:pPr>
            <w:r>
              <w:rPr>
                <w:rFonts w:ascii="Arial" w:hAnsi="Arial"/>
                <w:sz w:val="18"/>
              </w:rPr>
              <w:t>IQR Sentence Length</w:t>
            </w:r>
          </w:p>
        </w:tc>
        <w:tc>
          <w:tcPr>
            <w:tcW w:type="dxa" w:w="4896"/>
          </w:tcPr>
          <w:p>
            <w:pPr>
              <w:spacing w:before="60" w:after="60"/>
            </w:pPr>
            <w:r>
              <w:rPr>
                <w:rFonts w:ascii="Arial" w:hAnsi="Arial"/>
                <w:sz w:val="18"/>
              </w:rPr>
              <w:t>[9.0, 28.0] words</w:t>
            </w:r>
          </w:p>
        </w:tc>
      </w:tr>
      <w:tr>
        <w:tc>
          <w:tcPr>
            <w:tcW w:type="dxa" w:w="5184"/>
          </w:tcPr>
          <w:p>
            <w:pPr>
              <w:spacing w:before="60" w:after="60"/>
            </w:pPr>
            <w:r>
              <w:rPr>
                <w:rFonts w:ascii="Arial" w:hAnsi="Arial"/>
                <w:sz w:val="18"/>
              </w:rPr>
              <w:t>95th Percentile Sentence Length</w:t>
            </w:r>
          </w:p>
        </w:tc>
        <w:tc>
          <w:tcPr>
            <w:tcW w:type="dxa" w:w="4896"/>
          </w:tcPr>
          <w:p>
            <w:pPr>
              <w:spacing w:before="60" w:after="60"/>
            </w:pPr>
            <w:r>
              <w:rPr>
                <w:rFonts w:ascii="Arial" w:hAnsi="Arial"/>
                <w:sz w:val="18"/>
              </w:rPr>
              <w:t>48.0 words</w:t>
            </w:r>
          </w:p>
        </w:tc>
      </w:tr>
    </w:tbl>
    <w:p>
      <w:pPr>
        <w:spacing w:before="120"/>
      </w:pPr>
      <w:r>
        <w:t>Information-Theoretic Lower Bound: The empirical Shannon unigram entropy of the corpus is H = 8.7852 bits/token. This yields a theoretical zeroth-order perplexity lower bound of 2^H = 441.17. Any trained autoregressive model achieving a perplexity substantially below 441.17 demonstrates true sequential contextual modeling beyond independent unigram frequencies. Our trained GRU achieves a test perplexity of 131.77, representing a 3.35x information compression over the unigram baseline and a 33.2x reduction over the uniform random vocabulary baseline (PPL = 4,378).</w:t>
      </w:r>
    </w:p>
    <w:p>
      <w:pPr>
        <w:pStyle w:val="Heading2"/>
      </w:pPr>
      <w:r>
        <w:rPr>
          <w:rFonts w:ascii="Arial" w:hAnsi="Arial"/>
          <w:b/>
          <w:color w:val="2C3E50"/>
          <w:sz w:val="25"/>
        </w:rPr>
        <w:t>3.2 Sentence Length Distribution &amp; Sequence Window Justification</w:t>
      </w:r>
    </w:p>
    <w:p>
      <w:r>
        <w:t>The corpus contains 5,144 sentences with a mean length of 20.41 words and a median of 17.0 words (IQR: [9.0, 28.0] words). The distribution is moderately right-skewed, characteristic of Victorian prose with subordinate clauses. Our choice of context sequence length L = 20 spans approximately 60% of all complete sentences in the text, ensuring that the recurrent hidden states capture complete clausal dependencies without exceeding the vanishing-gradient retention horizon of recurrent cells.</w:t>
      </w:r>
    </w:p>
    <w:p>
      <w:pPr>
        <w:spacing w:before="160" w:after="40"/>
        <w:jc w:val="center"/>
      </w:pPr>
      <w:r>
        <w:drawing>
          <wp:inline xmlns:a="http://schemas.openxmlformats.org/drawingml/2006/main" xmlns:pic="http://schemas.openxmlformats.org/drawingml/2006/picture">
            <wp:extent cx="5303520" cy="2921010"/>
            <wp:docPr id="2" name="Picture 2"/>
            <wp:cNvGraphicFramePr>
              <a:graphicFrameLocks noChangeAspect="1"/>
            </wp:cNvGraphicFramePr>
            <a:graphic>
              <a:graphicData uri="http://schemas.openxmlformats.org/drawingml/2006/picture">
                <pic:pic>
                  <pic:nvPicPr>
                    <pic:cNvPr id="0" name="eda_sentence_lengths.png"/>
                    <pic:cNvPicPr/>
                  </pic:nvPicPr>
                  <pic:blipFill>
                    <a:blip r:embed="rId10"/>
                    <a:stretch>
                      <a:fillRect/>
                    </a:stretch>
                  </pic:blipFill>
                  <pic:spPr>
                    <a:xfrm>
                      <a:off x="0" y="0"/>
                      <a:ext cx="5303520" cy="2921010"/>
                    </a:xfrm>
                    <a:prstGeom prst="rect"/>
                  </pic:spPr>
                </pic:pic>
              </a:graphicData>
            </a:graphic>
          </wp:inline>
        </w:drawing>
      </w:r>
    </w:p>
    <w:p>
      <w:pPr>
        <w:spacing w:after="200"/>
        <w:jc w:val="center"/>
      </w:pPr>
      <w:r>
        <w:rPr>
          <w:rFonts w:ascii="Arial" w:hAnsi="Arial"/>
          <w:i/>
          <w:color w:val="555555"/>
          <w:sz w:val="17"/>
        </w:rPr>
        <w:t>Figure 2: Empirical sentence length probability density distribution with mean (20.41 words), median (17.0 words), and 95th percentile markers.</w:t>
      </w:r>
    </w:p>
    <w:p>
      <w:pPr>
        <w:pStyle w:val="Heading2"/>
      </w:pPr>
      <w:r>
        <w:rPr>
          <w:rFonts w:ascii="Arial" w:hAnsi="Arial"/>
          <w:b/>
          <w:color w:val="2C3E50"/>
          <w:sz w:val="25"/>
        </w:rPr>
        <w:t>3.3 Empirical Zipf's Law Power-Law Verification</w:t>
      </w:r>
    </w:p>
    <w:p>
      <w:r>
        <w:t>Zipf's Law states that the occurrence frequency f(r) of a word is inversely proportional to its frequency rank r: f(r) = C / r^alpha, which linearizes in logarithmic coordinates as log10(f(r)) = log10(C) - alpha * log10(r). Ordinary least squares (OLS) regression over the top 1,000 token ranks yields an empirical exponent of alpha = 1.1161 with a coefficient of determination R^2 = 0.9966. This strong adherence confirms that the vocabulary follows standard natural language distributional power laws, where a small set of grammatical function words dominates the token stream while a vast tail of content words occurs rarely.</w:t>
      </w:r>
    </w:p>
    <w:p>
      <w:pPr>
        <w:spacing w:before="160" w:after="40"/>
        <w:jc w:val="center"/>
      </w:pPr>
      <w:r>
        <w:drawing>
          <wp:inline xmlns:a="http://schemas.openxmlformats.org/drawingml/2006/main" xmlns:pic="http://schemas.openxmlformats.org/drawingml/2006/picture">
            <wp:extent cx="5303520" cy="3215880"/>
            <wp:docPr id="3" name="Picture 3"/>
            <wp:cNvGraphicFramePr>
              <a:graphicFrameLocks noChangeAspect="1"/>
            </wp:cNvGraphicFramePr>
            <a:graphic>
              <a:graphicData uri="http://schemas.openxmlformats.org/drawingml/2006/picture">
                <pic:pic>
                  <pic:nvPicPr>
                    <pic:cNvPr id="0" name="eda_zipf_law.png"/>
                    <pic:cNvPicPr/>
                  </pic:nvPicPr>
                  <pic:blipFill>
                    <a:blip r:embed="rId11"/>
                    <a:stretch>
                      <a:fillRect/>
                    </a:stretch>
                  </pic:blipFill>
                  <pic:spPr>
                    <a:xfrm>
                      <a:off x="0" y="0"/>
                      <a:ext cx="5303520" cy="3215880"/>
                    </a:xfrm>
                    <a:prstGeom prst="rect"/>
                  </pic:spPr>
                </pic:pic>
              </a:graphicData>
            </a:graphic>
          </wp:inline>
        </w:drawing>
      </w:r>
    </w:p>
    <w:p>
      <w:pPr>
        <w:spacing w:after="200"/>
        <w:jc w:val="center"/>
      </w:pPr>
      <w:r>
        <w:rPr>
          <w:rFonts w:ascii="Arial" w:hAnsi="Arial"/>
          <w:i/>
          <w:color w:val="555555"/>
          <w:sz w:val="17"/>
        </w:rPr>
        <w:t>Figure 3: Empirical rank-frequency Zipfian distribution on log-log coordinates compared against the theoretical power-law fit (alpha = 1.1161, R^2 = 0.9966).</w:t>
      </w:r>
    </w:p>
    <w:p>
      <w:pPr>
        <w:pStyle w:val="Heading2"/>
      </w:pPr>
      <w:r>
        <w:rPr>
          <w:rFonts w:ascii="Arial" w:hAnsi="Arial"/>
          <w:b/>
          <w:color w:val="2C3E50"/>
          <w:sz w:val="25"/>
        </w:rPr>
        <w:t>3.4 Cumulative Lexical Coverage &amp; Out-of-Vocabulary Analysis</w:t>
      </w:r>
    </w:p>
    <w:p>
      <w:r>
        <w:t>An analysis of cumulative token coverage reveals steep initial concentration: the top 40 words alone account for 50.0% of all tokens in the corpus, while the top 517 words account for 80.0% (Pareto threshold). Setting the minimum word frequency threshold to min_freq &gt;= 2 yields an effective vocabulary size of V = 4,378 distinct tokens. This active vocabulary covers over 97.4% of all running tokens in the corpus, restricting the out-of-vocabulary (&lt;UNK&gt;) rate to just 2.6%. This strikes an optimal trade-off between vocabulary expressiveness and softmax projection computational cost.</w:t>
      </w:r>
    </w:p>
    <w:p>
      <w:pPr>
        <w:spacing w:before="160" w:after="40"/>
        <w:jc w:val="center"/>
      </w:pPr>
      <w:r>
        <w:drawing>
          <wp:inline xmlns:a="http://schemas.openxmlformats.org/drawingml/2006/main" xmlns:pic="http://schemas.openxmlformats.org/drawingml/2006/picture">
            <wp:extent cx="5303520" cy="2910106"/>
            <wp:docPr id="4" name="Picture 4"/>
            <wp:cNvGraphicFramePr>
              <a:graphicFrameLocks noChangeAspect="1"/>
            </wp:cNvGraphicFramePr>
            <a:graphic>
              <a:graphicData uri="http://schemas.openxmlformats.org/drawingml/2006/picture">
                <pic:pic>
                  <pic:nvPicPr>
                    <pic:cNvPr id="0" name="eda_token_coverage.png"/>
                    <pic:cNvPicPr/>
                  </pic:nvPicPr>
                  <pic:blipFill>
                    <a:blip r:embed="rId12"/>
                    <a:stretch>
                      <a:fillRect/>
                    </a:stretch>
                  </pic:blipFill>
                  <pic:spPr>
                    <a:xfrm>
                      <a:off x="0" y="0"/>
                      <a:ext cx="5303520" cy="2910106"/>
                    </a:xfrm>
                    <a:prstGeom prst="rect"/>
                  </pic:spPr>
                </pic:pic>
              </a:graphicData>
            </a:graphic>
          </wp:inline>
        </w:drawing>
      </w:r>
    </w:p>
    <w:p>
      <w:pPr>
        <w:spacing w:after="200"/>
        <w:jc w:val="center"/>
      </w:pPr>
      <w:r>
        <w:rPr>
          <w:rFonts w:ascii="Arial" w:hAnsi="Arial"/>
          <w:i/>
          <w:color w:val="555555"/>
          <w:sz w:val="17"/>
        </w:rPr>
        <w:t>Figure 4: Cumulative lexical coverage curve versus vocabulary rank, highlighting the 50%, 80%, and 95% coverage thresholds and the active vocabulary cutoff.</w:t>
      </w:r>
    </w:p>
    <w:p>
      <w:pPr>
        <w:pStyle w:val="Heading2"/>
      </w:pPr>
      <w:r>
        <w:rPr>
          <w:rFonts w:ascii="Arial" w:hAnsi="Arial"/>
          <w:b/>
          <w:color w:val="2C3E50"/>
          <w:sz w:val="25"/>
        </w:rPr>
        <w:t>3.5 Frequent Collocations &amp; N-Gram Profiles</w:t>
      </w:r>
    </w:p>
    <w:p>
      <w:r>
        <w:t>N-gram frequency analysis highlights the predominant syntactic collocations in Conan Doyle's prose. Excluding isolated punctuation, the most frequent bigrams represent prepositional phrases ('of the', 'in the', 'to the', 'at the') and first-person narrative framing ('it is', 'i have', 'it was', 'that i'). These collocations serve as primary qualitative benchmarks when inspecting model-generated sequences.</w:t>
      </w:r>
    </w:p>
    <w:p>
      <w:pPr>
        <w:spacing w:before="160" w:after="40"/>
        <w:jc w:val="center"/>
      </w:pPr>
      <w:r>
        <w:drawing>
          <wp:inline xmlns:a="http://schemas.openxmlformats.org/drawingml/2006/main" xmlns:pic="http://schemas.openxmlformats.org/drawingml/2006/picture">
            <wp:extent cx="5486400" cy="2340601"/>
            <wp:docPr id="5" name="Picture 5"/>
            <wp:cNvGraphicFramePr>
              <a:graphicFrameLocks noChangeAspect="1"/>
            </wp:cNvGraphicFramePr>
            <a:graphic>
              <a:graphicData uri="http://schemas.openxmlformats.org/drawingml/2006/picture">
                <pic:pic>
                  <pic:nvPicPr>
                    <pic:cNvPr id="0" name="eda_top_ngrams.png"/>
                    <pic:cNvPicPr/>
                  </pic:nvPicPr>
                  <pic:blipFill>
                    <a:blip r:embed="rId13"/>
                    <a:stretch>
                      <a:fillRect/>
                    </a:stretch>
                  </pic:blipFill>
                  <pic:spPr>
                    <a:xfrm>
                      <a:off x="0" y="0"/>
                      <a:ext cx="5486400" cy="2340601"/>
                    </a:xfrm>
                    <a:prstGeom prst="rect"/>
                  </pic:spPr>
                </pic:pic>
              </a:graphicData>
            </a:graphic>
          </wp:inline>
        </w:drawing>
      </w:r>
    </w:p>
    <w:p>
      <w:pPr>
        <w:spacing w:after="200"/>
        <w:jc w:val="center"/>
      </w:pPr>
      <w:r>
        <w:rPr>
          <w:rFonts w:ascii="Arial" w:hAnsi="Arial"/>
          <w:i/>
          <w:color w:val="555555"/>
          <w:sz w:val="17"/>
        </w:rPr>
        <w:t>Figure 5: High-frequency lexical profiles for Top 12 Unigram word tokens (Panel A) and Top 12 Bigram collocations (Panel B).</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864"/>
            <w:shd w:fill="1B365D"/>
          </w:tcPr>
          <w:p>
            <w:pPr>
              <w:spacing w:before="60" w:after="60"/>
            </w:pPr>
            <w:r>
              <w:rPr>
                <w:rFonts w:ascii="Arial" w:hAnsi="Arial"/>
                <w:b/>
                <w:color w:val="FFFFFF"/>
                <w:sz w:val="18"/>
              </w:rPr>
              <w:t>Rank</w:t>
            </w:r>
          </w:p>
        </w:tc>
        <w:tc>
          <w:tcPr>
            <w:tcW w:type="dxa" w:w="1584"/>
            <w:shd w:fill="1B365D"/>
          </w:tcPr>
          <w:p>
            <w:pPr>
              <w:spacing w:before="60" w:after="60"/>
            </w:pPr>
            <w:r>
              <w:rPr>
                <w:rFonts w:ascii="Arial" w:hAnsi="Arial"/>
                <w:b/>
                <w:color w:val="FFFFFF"/>
                <w:sz w:val="18"/>
              </w:rPr>
              <w:t>Unigram</w:t>
            </w:r>
          </w:p>
        </w:tc>
        <w:tc>
          <w:tcPr>
            <w:tcW w:type="dxa" w:w="1296"/>
            <w:shd w:fill="1B365D"/>
          </w:tcPr>
          <w:p>
            <w:pPr>
              <w:spacing w:before="60" w:after="60"/>
            </w:pPr>
            <w:r>
              <w:rPr>
                <w:rFonts w:ascii="Arial" w:hAnsi="Arial"/>
                <w:b/>
                <w:color w:val="FFFFFF"/>
                <w:sz w:val="18"/>
              </w:rPr>
              <w:t>Count</w:t>
            </w:r>
          </w:p>
        </w:tc>
        <w:tc>
          <w:tcPr>
            <w:tcW w:type="dxa" w:w="1584"/>
            <w:shd w:fill="1B365D"/>
          </w:tcPr>
          <w:p>
            <w:pPr>
              <w:spacing w:before="60" w:after="60"/>
            </w:pPr>
            <w:r>
              <w:rPr>
                <w:rFonts w:ascii="Arial" w:hAnsi="Arial"/>
                <w:b/>
                <w:color w:val="FFFFFF"/>
                <w:sz w:val="18"/>
              </w:rPr>
              <w:t>Unigram %</w:t>
            </w:r>
          </w:p>
        </w:tc>
        <w:tc>
          <w:tcPr>
            <w:tcW w:type="dxa" w:w="1872"/>
            <w:shd w:fill="1B365D"/>
          </w:tcPr>
          <w:p>
            <w:pPr>
              <w:spacing w:before="60" w:after="60"/>
            </w:pPr>
            <w:r>
              <w:rPr>
                <w:rFonts w:ascii="Arial" w:hAnsi="Arial"/>
                <w:b/>
                <w:color w:val="FFFFFF"/>
                <w:sz w:val="18"/>
              </w:rPr>
              <w:t>Bigram</w:t>
            </w:r>
          </w:p>
        </w:tc>
        <w:tc>
          <w:tcPr>
            <w:tcW w:type="dxa" w:w="1296"/>
            <w:shd w:fill="1B365D"/>
          </w:tcPr>
          <w:p>
            <w:pPr>
              <w:spacing w:before="60" w:after="60"/>
            </w:pPr>
            <w:r>
              <w:rPr>
                <w:rFonts w:ascii="Arial" w:hAnsi="Arial"/>
                <w:b/>
                <w:color w:val="FFFFFF"/>
                <w:sz w:val="18"/>
              </w:rPr>
              <w:t>Count</w:t>
            </w:r>
          </w:p>
        </w:tc>
        <w:tc>
          <w:tcPr>
            <w:tcW w:type="dxa" w:w="1584"/>
            <w:shd w:fill="1B365D"/>
          </w:tcPr>
          <w:p>
            <w:pPr>
              <w:spacing w:before="60" w:after="60"/>
            </w:pPr>
            <w:r>
              <w:rPr>
                <w:rFonts w:ascii="Arial" w:hAnsi="Arial"/>
                <w:b/>
                <w:color w:val="FFFFFF"/>
                <w:sz w:val="18"/>
              </w:rPr>
              <w:t>Bigram %</w:t>
            </w:r>
          </w:p>
        </w:tc>
      </w:tr>
      <w:tr>
        <w:tc>
          <w:tcPr>
            <w:tcW w:type="dxa" w:w="864"/>
          </w:tcPr>
          <w:p>
            <w:pPr>
              <w:spacing w:before="60" w:after="60"/>
            </w:pPr>
            <w:r>
              <w:rPr>
                <w:rFonts w:ascii="Arial" w:hAnsi="Arial"/>
                <w:sz w:val="18"/>
              </w:rPr>
              <w:t>1</w:t>
            </w:r>
          </w:p>
        </w:tc>
        <w:tc>
          <w:tcPr>
            <w:tcW w:type="dxa" w:w="1584"/>
          </w:tcPr>
          <w:p>
            <w:pPr>
              <w:spacing w:before="60" w:after="60"/>
            </w:pPr>
            <w:r>
              <w:rPr>
                <w:rFonts w:ascii="Arial" w:hAnsi="Arial"/>
                <w:sz w:val="18"/>
              </w:rPr>
              <w:t>the</w:t>
            </w:r>
          </w:p>
        </w:tc>
        <w:tc>
          <w:tcPr>
            <w:tcW w:type="dxa" w:w="1296"/>
          </w:tcPr>
          <w:p>
            <w:pPr>
              <w:spacing w:before="60" w:after="60"/>
            </w:pPr>
            <w:r>
              <w:rPr>
                <w:rFonts w:ascii="Arial" w:hAnsi="Arial"/>
                <w:sz w:val="18"/>
              </w:rPr>
              <w:t>5,630</w:t>
            </w:r>
          </w:p>
        </w:tc>
        <w:tc>
          <w:tcPr>
            <w:tcW w:type="dxa" w:w="1584"/>
          </w:tcPr>
          <w:p>
            <w:pPr>
              <w:spacing w:before="60" w:after="60"/>
            </w:pPr>
            <w:r>
              <w:rPr>
                <w:rFonts w:ascii="Arial" w:hAnsi="Arial"/>
                <w:sz w:val="18"/>
              </w:rPr>
              <w:t>5.318%</w:t>
            </w:r>
          </w:p>
        </w:tc>
        <w:tc>
          <w:tcPr>
            <w:tcW w:type="dxa" w:w="1872"/>
          </w:tcPr>
          <w:p>
            <w:pPr>
              <w:spacing w:before="60" w:after="60"/>
            </w:pPr>
            <w:r>
              <w:rPr>
                <w:rFonts w:ascii="Arial" w:hAnsi="Arial"/>
                <w:sz w:val="18"/>
              </w:rPr>
              <w:t>of the</w:t>
            </w:r>
          </w:p>
        </w:tc>
        <w:tc>
          <w:tcPr>
            <w:tcW w:type="dxa" w:w="1296"/>
          </w:tcPr>
          <w:p>
            <w:pPr>
              <w:spacing w:before="60" w:after="60"/>
            </w:pPr>
            <w:r>
              <w:rPr>
                <w:rFonts w:ascii="Arial" w:hAnsi="Arial"/>
                <w:sz w:val="18"/>
              </w:rPr>
              <w:t>714</w:t>
            </w:r>
          </w:p>
        </w:tc>
        <w:tc>
          <w:tcPr>
            <w:tcW w:type="dxa" w:w="1584"/>
          </w:tcPr>
          <w:p>
            <w:pPr>
              <w:spacing w:before="60" w:after="60"/>
            </w:pPr>
            <w:r>
              <w:rPr>
                <w:rFonts w:ascii="Arial" w:hAnsi="Arial"/>
                <w:sz w:val="18"/>
              </w:rPr>
              <w:t>0.674%</w:t>
            </w:r>
          </w:p>
        </w:tc>
      </w:tr>
      <w:tr>
        <w:tc>
          <w:tcPr>
            <w:tcW w:type="dxa" w:w="864"/>
          </w:tcPr>
          <w:p>
            <w:pPr>
              <w:spacing w:before="60" w:after="60"/>
            </w:pPr>
            <w:r>
              <w:rPr>
                <w:rFonts w:ascii="Arial" w:hAnsi="Arial"/>
                <w:sz w:val="18"/>
              </w:rPr>
              <w:t>2</w:t>
            </w:r>
          </w:p>
        </w:tc>
        <w:tc>
          <w:tcPr>
            <w:tcW w:type="dxa" w:w="1584"/>
          </w:tcPr>
          <w:p>
            <w:pPr>
              <w:spacing w:before="60" w:after="60"/>
            </w:pPr>
            <w:r>
              <w:rPr>
                <w:rFonts w:ascii="Arial" w:hAnsi="Arial"/>
                <w:sz w:val="18"/>
              </w:rPr>
              <w:t>i</w:t>
            </w:r>
          </w:p>
        </w:tc>
        <w:tc>
          <w:tcPr>
            <w:tcW w:type="dxa" w:w="1296"/>
          </w:tcPr>
          <w:p>
            <w:pPr>
              <w:spacing w:before="60" w:after="60"/>
            </w:pPr>
            <w:r>
              <w:rPr>
                <w:rFonts w:ascii="Arial" w:hAnsi="Arial"/>
                <w:sz w:val="18"/>
              </w:rPr>
              <w:t>3,038</w:t>
            </w:r>
          </w:p>
        </w:tc>
        <w:tc>
          <w:tcPr>
            <w:tcW w:type="dxa" w:w="1584"/>
          </w:tcPr>
          <w:p>
            <w:pPr>
              <w:spacing w:before="60" w:after="60"/>
            </w:pPr>
            <w:r>
              <w:rPr>
                <w:rFonts w:ascii="Arial" w:hAnsi="Arial"/>
                <w:sz w:val="18"/>
              </w:rPr>
              <w:t>2.870%</w:t>
            </w:r>
          </w:p>
        </w:tc>
        <w:tc>
          <w:tcPr>
            <w:tcW w:type="dxa" w:w="1872"/>
          </w:tcPr>
          <w:p>
            <w:pPr>
              <w:spacing w:before="60" w:after="60"/>
            </w:pPr>
            <w:r>
              <w:rPr>
                <w:rFonts w:ascii="Arial" w:hAnsi="Arial"/>
                <w:sz w:val="18"/>
              </w:rPr>
              <w:t>in the</w:t>
            </w:r>
          </w:p>
        </w:tc>
        <w:tc>
          <w:tcPr>
            <w:tcW w:type="dxa" w:w="1296"/>
          </w:tcPr>
          <w:p>
            <w:pPr>
              <w:spacing w:before="60" w:after="60"/>
            </w:pPr>
            <w:r>
              <w:rPr>
                <w:rFonts w:ascii="Arial" w:hAnsi="Arial"/>
                <w:sz w:val="18"/>
              </w:rPr>
              <w:t>506</w:t>
            </w:r>
          </w:p>
        </w:tc>
        <w:tc>
          <w:tcPr>
            <w:tcW w:type="dxa" w:w="1584"/>
          </w:tcPr>
          <w:p>
            <w:pPr>
              <w:spacing w:before="60" w:after="60"/>
            </w:pPr>
            <w:r>
              <w:rPr>
                <w:rFonts w:ascii="Arial" w:hAnsi="Arial"/>
                <w:sz w:val="18"/>
              </w:rPr>
              <w:t>0.478%</w:t>
            </w:r>
          </w:p>
        </w:tc>
      </w:tr>
      <w:tr>
        <w:tc>
          <w:tcPr>
            <w:tcW w:type="dxa" w:w="864"/>
          </w:tcPr>
          <w:p>
            <w:pPr>
              <w:spacing w:before="60" w:after="60"/>
            </w:pPr>
            <w:r>
              <w:rPr>
                <w:rFonts w:ascii="Arial" w:hAnsi="Arial"/>
                <w:sz w:val="18"/>
              </w:rPr>
              <w:t>3</w:t>
            </w:r>
          </w:p>
        </w:tc>
        <w:tc>
          <w:tcPr>
            <w:tcW w:type="dxa" w:w="1584"/>
          </w:tcPr>
          <w:p>
            <w:pPr>
              <w:spacing w:before="60" w:after="60"/>
            </w:pPr>
            <w:r>
              <w:rPr>
                <w:rFonts w:ascii="Arial" w:hAnsi="Arial"/>
                <w:sz w:val="18"/>
              </w:rPr>
              <w:t>and</w:t>
            </w:r>
          </w:p>
        </w:tc>
        <w:tc>
          <w:tcPr>
            <w:tcW w:type="dxa" w:w="1296"/>
          </w:tcPr>
          <w:p>
            <w:pPr>
              <w:spacing w:before="60" w:after="60"/>
            </w:pPr>
            <w:r>
              <w:rPr>
                <w:rFonts w:ascii="Arial" w:hAnsi="Arial"/>
                <w:sz w:val="18"/>
              </w:rPr>
              <w:t>3,018</w:t>
            </w:r>
          </w:p>
        </w:tc>
        <w:tc>
          <w:tcPr>
            <w:tcW w:type="dxa" w:w="1584"/>
          </w:tcPr>
          <w:p>
            <w:pPr>
              <w:spacing w:before="60" w:after="60"/>
            </w:pPr>
            <w:r>
              <w:rPr>
                <w:rFonts w:ascii="Arial" w:hAnsi="Arial"/>
                <w:sz w:val="18"/>
              </w:rPr>
              <w:t>2.851%</w:t>
            </w:r>
          </w:p>
        </w:tc>
        <w:tc>
          <w:tcPr>
            <w:tcW w:type="dxa" w:w="1872"/>
          </w:tcPr>
          <w:p>
            <w:pPr>
              <w:spacing w:before="60" w:after="60"/>
            </w:pPr>
            <w:r>
              <w:rPr>
                <w:rFonts w:ascii="Arial" w:hAnsi="Arial"/>
                <w:sz w:val="18"/>
              </w:rPr>
              <w:t>it is</w:t>
            </w:r>
          </w:p>
        </w:tc>
        <w:tc>
          <w:tcPr>
            <w:tcW w:type="dxa" w:w="1296"/>
          </w:tcPr>
          <w:p>
            <w:pPr>
              <w:spacing w:before="60" w:after="60"/>
            </w:pPr>
            <w:r>
              <w:rPr>
                <w:rFonts w:ascii="Arial" w:hAnsi="Arial"/>
                <w:sz w:val="18"/>
              </w:rPr>
              <w:t>335</w:t>
            </w:r>
          </w:p>
        </w:tc>
        <w:tc>
          <w:tcPr>
            <w:tcW w:type="dxa" w:w="1584"/>
          </w:tcPr>
          <w:p>
            <w:pPr>
              <w:spacing w:before="60" w:after="60"/>
            </w:pPr>
            <w:r>
              <w:rPr>
                <w:rFonts w:ascii="Arial" w:hAnsi="Arial"/>
                <w:sz w:val="18"/>
              </w:rPr>
              <w:t>0.316%</w:t>
            </w:r>
          </w:p>
        </w:tc>
      </w:tr>
      <w:tr>
        <w:tc>
          <w:tcPr>
            <w:tcW w:type="dxa" w:w="864"/>
          </w:tcPr>
          <w:p>
            <w:pPr>
              <w:spacing w:before="60" w:after="60"/>
            </w:pPr>
            <w:r>
              <w:rPr>
                <w:rFonts w:ascii="Arial" w:hAnsi="Arial"/>
                <w:sz w:val="18"/>
              </w:rPr>
              <w:t>4</w:t>
            </w:r>
          </w:p>
        </w:tc>
        <w:tc>
          <w:tcPr>
            <w:tcW w:type="dxa" w:w="1584"/>
          </w:tcPr>
          <w:p>
            <w:pPr>
              <w:spacing w:before="60" w:after="60"/>
            </w:pPr>
            <w:r>
              <w:rPr>
                <w:rFonts w:ascii="Arial" w:hAnsi="Arial"/>
                <w:sz w:val="18"/>
              </w:rPr>
              <w:t>to</w:t>
            </w:r>
          </w:p>
        </w:tc>
        <w:tc>
          <w:tcPr>
            <w:tcW w:type="dxa" w:w="1296"/>
          </w:tcPr>
          <w:p>
            <w:pPr>
              <w:spacing w:before="60" w:after="60"/>
            </w:pPr>
            <w:r>
              <w:rPr>
                <w:rFonts w:ascii="Arial" w:hAnsi="Arial"/>
                <w:sz w:val="18"/>
              </w:rPr>
              <w:t>2,744</w:t>
            </w:r>
          </w:p>
        </w:tc>
        <w:tc>
          <w:tcPr>
            <w:tcW w:type="dxa" w:w="1584"/>
          </w:tcPr>
          <w:p>
            <w:pPr>
              <w:spacing w:before="60" w:after="60"/>
            </w:pPr>
            <w:r>
              <w:rPr>
                <w:rFonts w:ascii="Arial" w:hAnsi="Arial"/>
                <w:sz w:val="18"/>
              </w:rPr>
              <w:t>2.592%</w:t>
            </w:r>
          </w:p>
        </w:tc>
        <w:tc>
          <w:tcPr>
            <w:tcW w:type="dxa" w:w="1872"/>
          </w:tcPr>
          <w:p>
            <w:pPr>
              <w:spacing w:before="60" w:after="60"/>
            </w:pPr>
            <w:r>
              <w:rPr>
                <w:rFonts w:ascii="Arial" w:hAnsi="Arial"/>
                <w:sz w:val="18"/>
              </w:rPr>
              <w:t>to the</w:t>
            </w:r>
          </w:p>
        </w:tc>
        <w:tc>
          <w:tcPr>
            <w:tcW w:type="dxa" w:w="1296"/>
          </w:tcPr>
          <w:p>
            <w:pPr>
              <w:spacing w:before="60" w:after="60"/>
            </w:pPr>
            <w:r>
              <w:rPr>
                <w:rFonts w:ascii="Arial" w:hAnsi="Arial"/>
                <w:sz w:val="18"/>
              </w:rPr>
              <w:t>304</w:t>
            </w:r>
          </w:p>
        </w:tc>
        <w:tc>
          <w:tcPr>
            <w:tcW w:type="dxa" w:w="1584"/>
          </w:tcPr>
          <w:p>
            <w:pPr>
              <w:spacing w:before="60" w:after="60"/>
            </w:pPr>
            <w:r>
              <w:rPr>
                <w:rFonts w:ascii="Arial" w:hAnsi="Arial"/>
                <w:sz w:val="18"/>
              </w:rPr>
              <w:t>0.287%</w:t>
            </w:r>
          </w:p>
        </w:tc>
      </w:tr>
      <w:tr>
        <w:tc>
          <w:tcPr>
            <w:tcW w:type="dxa" w:w="864"/>
          </w:tcPr>
          <w:p>
            <w:pPr>
              <w:spacing w:before="60" w:after="60"/>
            </w:pPr>
            <w:r>
              <w:rPr>
                <w:rFonts w:ascii="Arial" w:hAnsi="Arial"/>
                <w:sz w:val="18"/>
              </w:rPr>
              <w:t>5</w:t>
            </w:r>
          </w:p>
        </w:tc>
        <w:tc>
          <w:tcPr>
            <w:tcW w:type="dxa" w:w="1584"/>
          </w:tcPr>
          <w:p>
            <w:pPr>
              <w:spacing w:before="60" w:after="60"/>
            </w:pPr>
            <w:r>
              <w:rPr>
                <w:rFonts w:ascii="Arial" w:hAnsi="Arial"/>
                <w:sz w:val="18"/>
              </w:rPr>
              <w:t>of</w:t>
            </w:r>
          </w:p>
        </w:tc>
        <w:tc>
          <w:tcPr>
            <w:tcW w:type="dxa" w:w="1296"/>
          </w:tcPr>
          <w:p>
            <w:pPr>
              <w:spacing w:before="60" w:after="60"/>
            </w:pPr>
            <w:r>
              <w:rPr>
                <w:rFonts w:ascii="Arial" w:hAnsi="Arial"/>
                <w:sz w:val="18"/>
              </w:rPr>
              <w:t>2,655</w:t>
            </w:r>
          </w:p>
        </w:tc>
        <w:tc>
          <w:tcPr>
            <w:tcW w:type="dxa" w:w="1584"/>
          </w:tcPr>
          <w:p>
            <w:pPr>
              <w:spacing w:before="60" w:after="60"/>
            </w:pPr>
            <w:r>
              <w:rPr>
                <w:rFonts w:ascii="Arial" w:hAnsi="Arial"/>
                <w:sz w:val="18"/>
              </w:rPr>
              <w:t>2.508%</w:t>
            </w:r>
          </w:p>
        </w:tc>
        <w:tc>
          <w:tcPr>
            <w:tcW w:type="dxa" w:w="1872"/>
          </w:tcPr>
          <w:p>
            <w:pPr>
              <w:spacing w:before="60" w:after="60"/>
            </w:pPr>
            <w:r>
              <w:rPr>
                <w:rFonts w:ascii="Arial" w:hAnsi="Arial"/>
                <w:sz w:val="18"/>
              </w:rPr>
              <w:t>i have</w:t>
            </w:r>
          </w:p>
        </w:tc>
        <w:tc>
          <w:tcPr>
            <w:tcW w:type="dxa" w:w="1296"/>
          </w:tcPr>
          <w:p>
            <w:pPr>
              <w:spacing w:before="60" w:after="60"/>
            </w:pPr>
            <w:r>
              <w:rPr>
                <w:rFonts w:ascii="Arial" w:hAnsi="Arial"/>
                <w:sz w:val="18"/>
              </w:rPr>
              <w:t>301</w:t>
            </w:r>
          </w:p>
        </w:tc>
        <w:tc>
          <w:tcPr>
            <w:tcW w:type="dxa" w:w="1584"/>
          </w:tcPr>
          <w:p>
            <w:pPr>
              <w:spacing w:before="60" w:after="60"/>
            </w:pPr>
            <w:r>
              <w:rPr>
                <w:rFonts w:ascii="Arial" w:hAnsi="Arial"/>
                <w:sz w:val="18"/>
              </w:rPr>
              <w:t>0.284%</w:t>
            </w:r>
          </w:p>
        </w:tc>
      </w:tr>
      <w:tr>
        <w:tc>
          <w:tcPr>
            <w:tcW w:type="dxa" w:w="864"/>
          </w:tcPr>
          <w:p>
            <w:pPr>
              <w:spacing w:before="60" w:after="60"/>
            </w:pPr>
            <w:r>
              <w:rPr>
                <w:rFonts w:ascii="Arial" w:hAnsi="Arial"/>
                <w:sz w:val="18"/>
              </w:rPr>
              <w:t>6</w:t>
            </w:r>
          </w:p>
        </w:tc>
        <w:tc>
          <w:tcPr>
            <w:tcW w:type="dxa" w:w="1584"/>
          </w:tcPr>
          <w:p>
            <w:pPr>
              <w:spacing w:before="60" w:after="60"/>
            </w:pPr>
            <w:r>
              <w:rPr>
                <w:rFonts w:ascii="Arial" w:hAnsi="Arial"/>
                <w:sz w:val="18"/>
              </w:rPr>
              <w:t>a</w:t>
            </w:r>
          </w:p>
        </w:tc>
        <w:tc>
          <w:tcPr>
            <w:tcW w:type="dxa" w:w="1296"/>
          </w:tcPr>
          <w:p>
            <w:pPr>
              <w:spacing w:before="60" w:after="60"/>
            </w:pPr>
            <w:r>
              <w:rPr>
                <w:rFonts w:ascii="Arial" w:hAnsi="Arial"/>
                <w:sz w:val="18"/>
              </w:rPr>
              <w:t>2,643</w:t>
            </w:r>
          </w:p>
        </w:tc>
        <w:tc>
          <w:tcPr>
            <w:tcW w:type="dxa" w:w="1584"/>
          </w:tcPr>
          <w:p>
            <w:pPr>
              <w:spacing w:before="60" w:after="60"/>
            </w:pPr>
            <w:r>
              <w:rPr>
                <w:rFonts w:ascii="Arial" w:hAnsi="Arial"/>
                <w:sz w:val="18"/>
              </w:rPr>
              <w:t>2.497%</w:t>
            </w:r>
          </w:p>
        </w:tc>
        <w:tc>
          <w:tcPr>
            <w:tcW w:type="dxa" w:w="1872"/>
          </w:tcPr>
          <w:p>
            <w:pPr>
              <w:spacing w:before="60" w:after="60"/>
            </w:pPr>
            <w:r>
              <w:rPr>
                <w:rFonts w:ascii="Arial" w:hAnsi="Arial"/>
                <w:sz w:val="18"/>
              </w:rPr>
              <w:t>it was</w:t>
            </w:r>
          </w:p>
        </w:tc>
        <w:tc>
          <w:tcPr>
            <w:tcW w:type="dxa" w:w="1296"/>
          </w:tcPr>
          <w:p>
            <w:pPr>
              <w:spacing w:before="60" w:after="60"/>
            </w:pPr>
            <w:r>
              <w:rPr>
                <w:rFonts w:ascii="Arial" w:hAnsi="Arial"/>
                <w:sz w:val="18"/>
              </w:rPr>
              <w:t>279</w:t>
            </w:r>
          </w:p>
        </w:tc>
        <w:tc>
          <w:tcPr>
            <w:tcW w:type="dxa" w:w="1584"/>
          </w:tcPr>
          <w:p>
            <w:pPr>
              <w:spacing w:before="60" w:after="60"/>
            </w:pPr>
            <w:r>
              <w:rPr>
                <w:rFonts w:ascii="Arial" w:hAnsi="Arial"/>
                <w:sz w:val="18"/>
              </w:rPr>
              <w:t>0.264%</w:t>
            </w:r>
          </w:p>
        </w:tc>
      </w:tr>
      <w:tr>
        <w:tc>
          <w:tcPr>
            <w:tcW w:type="dxa" w:w="864"/>
          </w:tcPr>
          <w:p>
            <w:pPr>
              <w:spacing w:before="60" w:after="60"/>
            </w:pPr>
            <w:r>
              <w:rPr>
                <w:rFonts w:ascii="Arial" w:hAnsi="Arial"/>
                <w:sz w:val="18"/>
              </w:rPr>
              <w:t>7</w:t>
            </w:r>
          </w:p>
        </w:tc>
        <w:tc>
          <w:tcPr>
            <w:tcW w:type="dxa" w:w="1584"/>
          </w:tcPr>
          <w:p>
            <w:pPr>
              <w:spacing w:before="60" w:after="60"/>
            </w:pPr>
            <w:r>
              <w:rPr>
                <w:rFonts w:ascii="Arial" w:hAnsi="Arial"/>
                <w:sz w:val="18"/>
              </w:rPr>
              <w:t>in</w:t>
            </w:r>
          </w:p>
        </w:tc>
        <w:tc>
          <w:tcPr>
            <w:tcW w:type="dxa" w:w="1296"/>
          </w:tcPr>
          <w:p>
            <w:pPr>
              <w:spacing w:before="60" w:after="60"/>
            </w:pPr>
            <w:r>
              <w:rPr>
                <w:rFonts w:ascii="Arial" w:hAnsi="Arial"/>
                <w:sz w:val="18"/>
              </w:rPr>
              <w:t>1,766</w:t>
            </w:r>
          </w:p>
        </w:tc>
        <w:tc>
          <w:tcPr>
            <w:tcW w:type="dxa" w:w="1584"/>
          </w:tcPr>
          <w:p>
            <w:pPr>
              <w:spacing w:before="60" w:after="60"/>
            </w:pPr>
            <w:r>
              <w:rPr>
                <w:rFonts w:ascii="Arial" w:hAnsi="Arial"/>
                <w:sz w:val="18"/>
              </w:rPr>
              <w:t>1.668%</w:t>
            </w:r>
          </w:p>
        </w:tc>
        <w:tc>
          <w:tcPr>
            <w:tcW w:type="dxa" w:w="1872"/>
          </w:tcPr>
          <w:p>
            <w:pPr>
              <w:spacing w:before="60" w:after="60"/>
            </w:pPr>
            <w:r>
              <w:rPr>
                <w:rFonts w:ascii="Arial" w:hAnsi="Arial"/>
                <w:sz w:val="18"/>
              </w:rPr>
              <w:t>that i</w:t>
            </w:r>
          </w:p>
        </w:tc>
        <w:tc>
          <w:tcPr>
            <w:tcW w:type="dxa" w:w="1296"/>
          </w:tcPr>
          <w:p>
            <w:pPr>
              <w:spacing w:before="60" w:after="60"/>
            </w:pPr>
            <w:r>
              <w:rPr>
                <w:rFonts w:ascii="Arial" w:hAnsi="Arial"/>
                <w:sz w:val="18"/>
              </w:rPr>
              <w:t>257</w:t>
            </w:r>
          </w:p>
        </w:tc>
        <w:tc>
          <w:tcPr>
            <w:tcW w:type="dxa" w:w="1584"/>
          </w:tcPr>
          <w:p>
            <w:pPr>
              <w:spacing w:before="60" w:after="60"/>
            </w:pPr>
            <w:r>
              <w:rPr>
                <w:rFonts w:ascii="Arial" w:hAnsi="Arial"/>
                <w:sz w:val="18"/>
              </w:rPr>
              <w:t>0.243%</w:t>
            </w:r>
          </w:p>
        </w:tc>
      </w:tr>
      <w:tr>
        <w:tc>
          <w:tcPr>
            <w:tcW w:type="dxa" w:w="864"/>
          </w:tcPr>
          <w:p>
            <w:pPr>
              <w:spacing w:before="60" w:after="60"/>
            </w:pPr>
            <w:r>
              <w:rPr>
                <w:rFonts w:ascii="Arial" w:hAnsi="Arial"/>
                <w:sz w:val="18"/>
              </w:rPr>
              <w:t>8</w:t>
            </w:r>
          </w:p>
        </w:tc>
        <w:tc>
          <w:tcPr>
            <w:tcW w:type="dxa" w:w="1584"/>
          </w:tcPr>
          <w:p>
            <w:pPr>
              <w:spacing w:before="60" w:after="60"/>
            </w:pPr>
            <w:r>
              <w:rPr>
                <w:rFonts w:ascii="Arial" w:hAnsi="Arial"/>
                <w:sz w:val="18"/>
              </w:rPr>
              <w:t>that</w:t>
            </w:r>
          </w:p>
        </w:tc>
        <w:tc>
          <w:tcPr>
            <w:tcW w:type="dxa" w:w="1296"/>
          </w:tcPr>
          <w:p>
            <w:pPr>
              <w:spacing w:before="60" w:after="60"/>
            </w:pPr>
            <w:r>
              <w:rPr>
                <w:rFonts w:ascii="Arial" w:hAnsi="Arial"/>
                <w:sz w:val="18"/>
              </w:rPr>
              <w:t>1,752</w:t>
            </w:r>
          </w:p>
        </w:tc>
        <w:tc>
          <w:tcPr>
            <w:tcW w:type="dxa" w:w="1584"/>
          </w:tcPr>
          <w:p>
            <w:pPr>
              <w:spacing w:before="60" w:after="60"/>
            </w:pPr>
            <w:r>
              <w:rPr>
                <w:rFonts w:ascii="Arial" w:hAnsi="Arial"/>
                <w:sz w:val="18"/>
              </w:rPr>
              <w:t>1.655%</w:t>
            </w:r>
          </w:p>
        </w:tc>
        <w:tc>
          <w:tcPr>
            <w:tcW w:type="dxa" w:w="1872"/>
          </w:tcPr>
          <w:p>
            <w:pPr>
              <w:spacing w:before="60" w:after="60"/>
            </w:pPr>
            <w:r>
              <w:rPr>
                <w:rFonts w:ascii="Arial" w:hAnsi="Arial"/>
                <w:sz w:val="18"/>
              </w:rPr>
              <w:t>at the</w:t>
            </w:r>
          </w:p>
        </w:tc>
        <w:tc>
          <w:tcPr>
            <w:tcW w:type="dxa" w:w="1296"/>
          </w:tcPr>
          <w:p>
            <w:pPr>
              <w:spacing w:before="60" w:after="60"/>
            </w:pPr>
            <w:r>
              <w:rPr>
                <w:rFonts w:ascii="Arial" w:hAnsi="Arial"/>
                <w:sz w:val="18"/>
              </w:rPr>
              <w:t>237</w:t>
            </w:r>
          </w:p>
        </w:tc>
        <w:tc>
          <w:tcPr>
            <w:tcW w:type="dxa" w:w="1584"/>
          </w:tcPr>
          <w:p>
            <w:pPr>
              <w:spacing w:before="60" w:after="60"/>
            </w:pPr>
            <w:r>
              <w:rPr>
                <w:rFonts w:ascii="Arial" w:hAnsi="Arial"/>
                <w:sz w:val="18"/>
              </w:rPr>
              <w:t>0.224%</w:t>
            </w:r>
          </w:p>
        </w:tc>
      </w:tr>
      <w:tr>
        <w:tc>
          <w:tcPr>
            <w:tcW w:type="dxa" w:w="864"/>
          </w:tcPr>
          <w:p>
            <w:pPr>
              <w:spacing w:before="60" w:after="60"/>
            </w:pPr>
            <w:r>
              <w:rPr>
                <w:rFonts w:ascii="Arial" w:hAnsi="Arial"/>
                <w:sz w:val="18"/>
              </w:rPr>
              <w:t>9</w:t>
            </w:r>
          </w:p>
        </w:tc>
        <w:tc>
          <w:tcPr>
            <w:tcW w:type="dxa" w:w="1584"/>
          </w:tcPr>
          <w:p>
            <w:pPr>
              <w:spacing w:before="60" w:after="60"/>
            </w:pPr>
            <w:r>
              <w:rPr>
                <w:rFonts w:ascii="Arial" w:hAnsi="Arial"/>
                <w:sz w:val="18"/>
              </w:rPr>
              <w:t>it</w:t>
            </w:r>
          </w:p>
        </w:tc>
        <w:tc>
          <w:tcPr>
            <w:tcW w:type="dxa" w:w="1296"/>
          </w:tcPr>
          <w:p>
            <w:pPr>
              <w:spacing w:before="60" w:after="60"/>
            </w:pPr>
            <w:r>
              <w:rPr>
                <w:rFonts w:ascii="Arial" w:hAnsi="Arial"/>
                <w:sz w:val="18"/>
              </w:rPr>
              <w:t>1,734</w:t>
            </w:r>
          </w:p>
        </w:tc>
        <w:tc>
          <w:tcPr>
            <w:tcW w:type="dxa" w:w="1584"/>
          </w:tcPr>
          <w:p>
            <w:pPr>
              <w:spacing w:before="60" w:after="60"/>
            </w:pPr>
            <w:r>
              <w:rPr>
                <w:rFonts w:ascii="Arial" w:hAnsi="Arial"/>
                <w:sz w:val="18"/>
              </w:rPr>
              <w:t>1.638%</w:t>
            </w:r>
          </w:p>
        </w:tc>
        <w:tc>
          <w:tcPr>
            <w:tcW w:type="dxa" w:w="1872"/>
          </w:tcPr>
          <w:p>
            <w:pPr>
              <w:spacing w:before="60" w:after="60"/>
            </w:pPr>
            <w:r>
              <w:rPr>
                <w:rFonts w:ascii="Arial" w:hAnsi="Arial"/>
                <w:sz w:val="18"/>
              </w:rPr>
              <w:t>and i</w:t>
            </w:r>
          </w:p>
        </w:tc>
        <w:tc>
          <w:tcPr>
            <w:tcW w:type="dxa" w:w="1296"/>
          </w:tcPr>
          <w:p>
            <w:pPr>
              <w:spacing w:before="60" w:after="60"/>
            </w:pPr>
            <w:r>
              <w:rPr>
                <w:rFonts w:ascii="Arial" w:hAnsi="Arial"/>
                <w:sz w:val="18"/>
              </w:rPr>
              <w:t>218</w:t>
            </w:r>
          </w:p>
        </w:tc>
        <w:tc>
          <w:tcPr>
            <w:tcW w:type="dxa" w:w="1584"/>
          </w:tcPr>
          <w:p>
            <w:pPr>
              <w:spacing w:before="60" w:after="60"/>
            </w:pPr>
            <w:r>
              <w:rPr>
                <w:rFonts w:ascii="Arial" w:hAnsi="Arial"/>
                <w:sz w:val="18"/>
              </w:rPr>
              <w:t>0.206%</w:t>
            </w:r>
          </w:p>
        </w:tc>
      </w:tr>
      <w:tr>
        <w:tc>
          <w:tcPr>
            <w:tcW w:type="dxa" w:w="864"/>
          </w:tcPr>
          <w:p>
            <w:pPr>
              <w:spacing w:before="60" w:after="60"/>
            </w:pPr>
            <w:r>
              <w:rPr>
                <w:rFonts w:ascii="Arial" w:hAnsi="Arial"/>
                <w:sz w:val="18"/>
              </w:rPr>
              <w:t>10</w:t>
            </w:r>
          </w:p>
        </w:tc>
        <w:tc>
          <w:tcPr>
            <w:tcW w:type="dxa" w:w="1584"/>
          </w:tcPr>
          <w:p>
            <w:pPr>
              <w:spacing w:before="60" w:after="60"/>
            </w:pPr>
            <w:r>
              <w:rPr>
                <w:rFonts w:ascii="Arial" w:hAnsi="Arial"/>
                <w:sz w:val="18"/>
              </w:rPr>
              <w:t>you</w:t>
            </w:r>
          </w:p>
        </w:tc>
        <w:tc>
          <w:tcPr>
            <w:tcW w:type="dxa" w:w="1296"/>
          </w:tcPr>
          <w:p>
            <w:pPr>
              <w:spacing w:before="60" w:after="60"/>
            </w:pPr>
            <w:r>
              <w:rPr>
                <w:rFonts w:ascii="Arial" w:hAnsi="Arial"/>
                <w:sz w:val="18"/>
              </w:rPr>
              <w:t>1,502</w:t>
            </w:r>
          </w:p>
        </w:tc>
        <w:tc>
          <w:tcPr>
            <w:tcW w:type="dxa" w:w="1584"/>
          </w:tcPr>
          <w:p>
            <w:pPr>
              <w:spacing w:before="60" w:after="60"/>
            </w:pPr>
            <w:r>
              <w:rPr>
                <w:rFonts w:ascii="Arial" w:hAnsi="Arial"/>
                <w:sz w:val="18"/>
              </w:rPr>
              <w:t>1.419%</w:t>
            </w:r>
          </w:p>
        </w:tc>
        <w:tc>
          <w:tcPr>
            <w:tcW w:type="dxa" w:w="1872"/>
          </w:tcPr>
          <w:p>
            <w:pPr>
              <w:spacing w:before="60" w:after="60"/>
            </w:pPr>
            <w:r>
              <w:rPr>
                <w:rFonts w:ascii="Arial" w:hAnsi="Arial"/>
                <w:sz w:val="18"/>
              </w:rPr>
              <w:t>and the</w:t>
            </w:r>
          </w:p>
        </w:tc>
        <w:tc>
          <w:tcPr>
            <w:tcW w:type="dxa" w:w="1296"/>
          </w:tcPr>
          <w:p>
            <w:pPr>
              <w:spacing w:before="60" w:after="60"/>
            </w:pPr>
            <w:r>
              <w:rPr>
                <w:rFonts w:ascii="Arial" w:hAnsi="Arial"/>
                <w:sz w:val="18"/>
              </w:rPr>
              <w:t>199</w:t>
            </w:r>
          </w:p>
        </w:tc>
        <w:tc>
          <w:tcPr>
            <w:tcW w:type="dxa" w:w="1584"/>
          </w:tcPr>
          <w:p>
            <w:pPr>
              <w:spacing w:before="60" w:after="60"/>
            </w:pPr>
            <w:r>
              <w:rPr>
                <w:rFonts w:ascii="Arial" w:hAnsi="Arial"/>
                <w:sz w:val="18"/>
              </w:rPr>
              <w:t>0.188%</w:t>
            </w:r>
          </w:p>
        </w:tc>
      </w:tr>
    </w:tbl>
    <w:p/>
    <w:p>
      <w:pPr>
        <w:pStyle w:val="Heading1"/>
      </w:pPr>
      <w:r>
        <w:rPr>
          <w:rFonts w:ascii="Arial" w:hAnsi="Arial"/>
          <w:b/>
          <w:color w:val="1B365D"/>
          <w:sz w:val="30"/>
        </w:rPr>
        <w:t>4. Quantitative Performance &amp; Comparative Model Evaluation</w:t>
      </w:r>
    </w:p>
    <w:p>
      <w:r>
        <w:t>All four models were trained for 10 epochs using identical hyperparameters: embedding dimension = 128, hidden dimension = 256, number of layers = 2, dropout = 0.2, batch size = 64, Adam optimizer with initial learning rate = 0.001, ReduceLROnPlateau scheduler, and gradient clipping at max norm = 1.0. The held-out test split (6,082 samples, 10% of dataset) was evaluated across Cross-Entropy Loss, Test Perplexity (PPL), Top-1 Accuracy, Top-5 Accuracy, and Inference Latency per batch.</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872"/>
            <w:shd w:fill="1B365D"/>
          </w:tcPr>
          <w:p>
            <w:pPr>
              <w:spacing w:before="60" w:after="60"/>
            </w:pPr>
            <w:r>
              <w:rPr>
                <w:rFonts w:ascii="Arial" w:hAnsi="Arial"/>
                <w:b/>
                <w:color w:val="FFFFFF"/>
                <w:sz w:val="18"/>
              </w:rPr>
              <w:t>Model</w:t>
            </w:r>
          </w:p>
        </w:tc>
        <w:tc>
          <w:tcPr>
            <w:tcW w:type="dxa" w:w="1296"/>
            <w:shd w:fill="1B365D"/>
          </w:tcPr>
          <w:p>
            <w:pPr>
              <w:spacing w:before="60" w:after="60"/>
            </w:pPr>
            <w:r>
              <w:rPr>
                <w:rFonts w:ascii="Arial" w:hAnsi="Arial"/>
                <w:b/>
                <w:color w:val="FFFFFF"/>
                <w:sz w:val="18"/>
              </w:rPr>
              <w:t>Parameters</w:t>
            </w:r>
          </w:p>
        </w:tc>
        <w:tc>
          <w:tcPr>
            <w:tcW w:type="dxa" w:w="1008"/>
            <w:shd w:fill="1B365D"/>
          </w:tcPr>
          <w:p>
            <w:pPr>
              <w:spacing w:before="60" w:after="60"/>
            </w:pPr>
            <w:r>
              <w:rPr>
                <w:rFonts w:ascii="Arial" w:hAnsi="Arial"/>
                <w:b/>
                <w:color w:val="FFFFFF"/>
                <w:sz w:val="18"/>
              </w:rPr>
              <w:t>Train Loss</w:t>
            </w:r>
          </w:p>
        </w:tc>
        <w:tc>
          <w:tcPr>
            <w:tcW w:type="dxa" w:w="1008"/>
            <w:shd w:fill="1B365D"/>
          </w:tcPr>
          <w:p>
            <w:pPr>
              <w:spacing w:before="60" w:after="60"/>
            </w:pPr>
            <w:r>
              <w:rPr>
                <w:rFonts w:ascii="Arial" w:hAnsi="Arial"/>
                <w:b/>
                <w:color w:val="FFFFFF"/>
                <w:sz w:val="18"/>
              </w:rPr>
              <w:t>Val Loss</w:t>
            </w:r>
          </w:p>
        </w:tc>
        <w:tc>
          <w:tcPr>
            <w:tcW w:type="dxa" w:w="1008"/>
            <w:shd w:fill="1B365D"/>
          </w:tcPr>
          <w:p>
            <w:pPr>
              <w:spacing w:before="60" w:after="60"/>
            </w:pPr>
            <w:r>
              <w:rPr>
                <w:rFonts w:ascii="Arial" w:hAnsi="Arial"/>
                <w:b/>
                <w:color w:val="FFFFFF"/>
                <w:sz w:val="18"/>
              </w:rPr>
              <w:t>Test Loss</w:t>
            </w:r>
          </w:p>
        </w:tc>
        <w:tc>
          <w:tcPr>
            <w:tcW w:type="dxa" w:w="1152"/>
            <w:shd w:fill="1B365D"/>
          </w:tcPr>
          <w:p>
            <w:pPr>
              <w:spacing w:before="60" w:after="60"/>
            </w:pPr>
            <w:r>
              <w:rPr>
                <w:rFonts w:ascii="Arial" w:hAnsi="Arial"/>
                <w:b/>
                <w:color w:val="FFFFFF"/>
                <w:sz w:val="18"/>
              </w:rPr>
              <w:t>Perplexity</w:t>
            </w:r>
          </w:p>
        </w:tc>
        <w:tc>
          <w:tcPr>
            <w:tcW w:type="dxa" w:w="1152"/>
            <w:shd w:fill="1B365D"/>
          </w:tcPr>
          <w:p>
            <w:pPr>
              <w:spacing w:before="60" w:after="60"/>
            </w:pPr>
            <w:r>
              <w:rPr>
                <w:rFonts w:ascii="Arial" w:hAnsi="Arial"/>
                <w:b/>
                <w:color w:val="FFFFFF"/>
                <w:sz w:val="18"/>
              </w:rPr>
              <w:t>Top-1 Acc (%)</w:t>
            </w:r>
          </w:p>
        </w:tc>
        <w:tc>
          <w:tcPr>
            <w:tcW w:type="dxa" w:w="1152"/>
            <w:shd w:fill="1B365D"/>
          </w:tcPr>
          <w:p>
            <w:pPr>
              <w:spacing w:before="60" w:after="60"/>
            </w:pPr>
            <w:r>
              <w:rPr>
                <w:rFonts w:ascii="Arial" w:hAnsi="Arial"/>
                <w:b/>
                <w:color w:val="FFFFFF"/>
                <w:sz w:val="18"/>
              </w:rPr>
              <w:t>Top-5 Acc (%)</w:t>
            </w:r>
          </w:p>
        </w:tc>
        <w:tc>
          <w:tcPr>
            <w:tcW w:type="dxa" w:w="1152"/>
            <w:shd w:fill="1B365D"/>
          </w:tcPr>
          <w:p>
            <w:pPr>
              <w:spacing w:before="60" w:after="60"/>
            </w:pPr>
            <w:r>
              <w:rPr>
                <w:rFonts w:ascii="Arial" w:hAnsi="Arial"/>
                <w:b/>
                <w:color w:val="FFFFFF"/>
                <w:sz w:val="18"/>
              </w:rPr>
              <w:t>Latency (ms)</w:t>
            </w:r>
          </w:p>
        </w:tc>
      </w:tr>
      <w:tr>
        <w:tc>
          <w:tcPr>
            <w:tcW w:type="dxa" w:w="1872"/>
          </w:tcPr>
          <w:p>
            <w:pPr>
              <w:spacing w:before="60" w:after="60"/>
            </w:pPr>
            <w:r>
              <w:rPr>
                <w:rFonts w:ascii="Arial" w:hAnsi="Arial"/>
                <w:sz w:val="18"/>
              </w:rPr>
              <w:t>Simple RNN</w:t>
            </w:r>
          </w:p>
        </w:tc>
        <w:tc>
          <w:tcPr>
            <w:tcW w:type="dxa" w:w="1296"/>
          </w:tcPr>
          <w:p>
            <w:pPr>
              <w:spacing w:before="60" w:after="60"/>
            </w:pPr>
            <w:r>
              <w:rPr>
                <w:rFonts w:ascii="Arial" w:hAnsi="Arial"/>
                <w:sz w:val="18"/>
              </w:rPr>
              <w:t>1,915,930</w:t>
            </w:r>
          </w:p>
        </w:tc>
        <w:tc>
          <w:tcPr>
            <w:tcW w:type="dxa" w:w="1008"/>
          </w:tcPr>
          <w:p>
            <w:pPr>
              <w:spacing w:before="60" w:after="60"/>
            </w:pPr>
            <w:r>
              <w:rPr>
                <w:rFonts w:ascii="Arial" w:hAnsi="Arial"/>
                <w:sz w:val="18"/>
              </w:rPr>
              <w:t>4.2867</w:t>
            </w:r>
          </w:p>
        </w:tc>
        <w:tc>
          <w:tcPr>
            <w:tcW w:type="dxa" w:w="1008"/>
          </w:tcPr>
          <w:p>
            <w:pPr>
              <w:spacing w:before="60" w:after="60"/>
            </w:pPr>
            <w:r>
              <w:rPr>
                <w:rFonts w:ascii="Arial" w:hAnsi="Arial"/>
                <w:sz w:val="18"/>
              </w:rPr>
              <w:t>5.1042</w:t>
            </w:r>
          </w:p>
        </w:tc>
        <w:tc>
          <w:tcPr>
            <w:tcW w:type="dxa" w:w="1008"/>
          </w:tcPr>
          <w:p>
            <w:pPr>
              <w:spacing w:before="60" w:after="60"/>
            </w:pPr>
            <w:r>
              <w:rPr>
                <w:rFonts w:ascii="Arial" w:hAnsi="Arial"/>
                <w:sz w:val="18"/>
              </w:rPr>
              <w:t>5.0707</w:t>
            </w:r>
          </w:p>
        </w:tc>
        <w:tc>
          <w:tcPr>
            <w:tcW w:type="dxa" w:w="1152"/>
          </w:tcPr>
          <w:p>
            <w:pPr>
              <w:spacing w:before="60" w:after="60"/>
            </w:pPr>
            <w:r>
              <w:rPr>
                <w:rFonts w:ascii="Arial" w:hAnsi="Arial"/>
                <w:sz w:val="18"/>
              </w:rPr>
              <w:t>159.28</w:t>
            </w:r>
          </w:p>
        </w:tc>
        <w:tc>
          <w:tcPr>
            <w:tcW w:type="dxa" w:w="1152"/>
          </w:tcPr>
          <w:p>
            <w:pPr>
              <w:spacing w:before="60" w:after="60"/>
            </w:pPr>
            <w:r>
              <w:rPr>
                <w:rFonts w:ascii="Arial" w:hAnsi="Arial"/>
                <w:sz w:val="18"/>
              </w:rPr>
              <w:t>16.35%</w:t>
            </w:r>
          </w:p>
        </w:tc>
        <w:tc>
          <w:tcPr>
            <w:tcW w:type="dxa" w:w="1152"/>
          </w:tcPr>
          <w:p>
            <w:pPr>
              <w:spacing w:before="60" w:after="60"/>
            </w:pPr>
            <w:r>
              <w:rPr>
                <w:rFonts w:ascii="Arial" w:hAnsi="Arial"/>
                <w:sz w:val="18"/>
              </w:rPr>
              <w:t>37.26%</w:t>
            </w:r>
          </w:p>
        </w:tc>
        <w:tc>
          <w:tcPr>
            <w:tcW w:type="dxa" w:w="1152"/>
          </w:tcPr>
          <w:p>
            <w:pPr>
              <w:spacing w:before="60" w:after="60"/>
            </w:pPr>
            <w:r>
              <w:rPr>
                <w:rFonts w:ascii="Arial" w:hAnsi="Arial"/>
                <w:sz w:val="18"/>
              </w:rPr>
              <w:t>2.04</w:t>
            </w:r>
          </w:p>
        </w:tc>
      </w:tr>
      <w:tr>
        <w:tc>
          <w:tcPr>
            <w:tcW w:type="dxa" w:w="1872"/>
          </w:tcPr>
          <w:p>
            <w:pPr>
              <w:spacing w:before="60" w:after="60"/>
            </w:pPr>
            <w:r>
              <w:rPr>
                <w:rFonts w:ascii="Arial" w:hAnsi="Arial"/>
                <w:sz w:val="18"/>
              </w:rPr>
              <w:t>Bidirectional RNN</w:t>
            </w:r>
          </w:p>
        </w:tc>
        <w:tc>
          <w:tcPr>
            <w:tcW w:type="dxa" w:w="1296"/>
          </w:tcPr>
          <w:p>
            <w:pPr>
              <w:spacing w:before="60" w:after="60"/>
            </w:pPr>
            <w:r>
              <w:rPr>
                <w:rFonts w:ascii="Arial" w:hAnsi="Arial"/>
                <w:sz w:val="18"/>
              </w:rPr>
              <w:t>1,850,394</w:t>
            </w:r>
          </w:p>
        </w:tc>
        <w:tc>
          <w:tcPr>
            <w:tcW w:type="dxa" w:w="1008"/>
          </w:tcPr>
          <w:p>
            <w:pPr>
              <w:spacing w:before="60" w:after="60"/>
            </w:pPr>
            <w:r>
              <w:rPr>
                <w:rFonts w:ascii="Arial" w:hAnsi="Arial"/>
                <w:sz w:val="18"/>
              </w:rPr>
              <w:t>4.3021</w:t>
            </w:r>
          </w:p>
        </w:tc>
        <w:tc>
          <w:tcPr>
            <w:tcW w:type="dxa" w:w="1008"/>
          </w:tcPr>
          <w:p>
            <w:pPr>
              <w:spacing w:before="60" w:after="60"/>
            </w:pPr>
            <w:r>
              <w:rPr>
                <w:rFonts w:ascii="Arial" w:hAnsi="Arial"/>
                <w:sz w:val="18"/>
              </w:rPr>
              <w:t>5.0600</w:t>
            </w:r>
          </w:p>
        </w:tc>
        <w:tc>
          <w:tcPr>
            <w:tcW w:type="dxa" w:w="1008"/>
          </w:tcPr>
          <w:p>
            <w:pPr>
              <w:spacing w:before="60" w:after="60"/>
            </w:pPr>
            <w:r>
              <w:rPr>
                <w:rFonts w:ascii="Arial" w:hAnsi="Arial"/>
                <w:sz w:val="18"/>
              </w:rPr>
              <w:t>4.9981</w:t>
            </w:r>
          </w:p>
        </w:tc>
        <w:tc>
          <w:tcPr>
            <w:tcW w:type="dxa" w:w="1152"/>
          </w:tcPr>
          <w:p>
            <w:pPr>
              <w:spacing w:before="60" w:after="60"/>
            </w:pPr>
            <w:r>
              <w:rPr>
                <w:rFonts w:ascii="Arial" w:hAnsi="Arial"/>
                <w:sz w:val="18"/>
              </w:rPr>
              <w:t>148.13</w:t>
            </w:r>
          </w:p>
        </w:tc>
        <w:tc>
          <w:tcPr>
            <w:tcW w:type="dxa" w:w="1152"/>
          </w:tcPr>
          <w:p>
            <w:pPr>
              <w:spacing w:before="60" w:after="60"/>
            </w:pPr>
            <w:r>
              <w:rPr>
                <w:rFonts w:ascii="Arial" w:hAnsi="Arial"/>
                <w:sz w:val="18"/>
              </w:rPr>
              <w:t>17.21%</w:t>
            </w:r>
          </w:p>
        </w:tc>
        <w:tc>
          <w:tcPr>
            <w:tcW w:type="dxa" w:w="1152"/>
          </w:tcPr>
          <w:p>
            <w:pPr>
              <w:spacing w:before="60" w:after="60"/>
            </w:pPr>
            <w:r>
              <w:rPr>
                <w:rFonts w:ascii="Arial" w:hAnsi="Arial"/>
                <w:sz w:val="18"/>
              </w:rPr>
              <w:t>38.25%</w:t>
            </w:r>
          </w:p>
        </w:tc>
        <w:tc>
          <w:tcPr>
            <w:tcW w:type="dxa" w:w="1152"/>
          </w:tcPr>
          <w:p>
            <w:pPr>
              <w:spacing w:before="60" w:after="60"/>
            </w:pPr>
            <w:r>
              <w:rPr>
                <w:rFonts w:ascii="Arial" w:hAnsi="Arial"/>
                <w:sz w:val="18"/>
              </w:rPr>
              <w:t>2.64</w:t>
            </w:r>
          </w:p>
        </w:tc>
      </w:tr>
      <w:tr>
        <w:tc>
          <w:tcPr>
            <w:tcW w:type="dxa" w:w="1872"/>
          </w:tcPr>
          <w:p>
            <w:pPr>
              <w:spacing w:before="60" w:after="60"/>
            </w:pPr>
            <w:r>
              <w:rPr>
                <w:rFonts w:ascii="Arial" w:hAnsi="Arial"/>
                <w:sz w:val="18"/>
              </w:rPr>
              <w:t>LSTM</w:t>
            </w:r>
          </w:p>
        </w:tc>
        <w:tc>
          <w:tcPr>
            <w:tcW w:type="dxa" w:w="1296"/>
          </w:tcPr>
          <w:p>
            <w:pPr>
              <w:spacing w:before="60" w:after="60"/>
            </w:pPr>
            <w:r>
              <w:rPr>
                <w:rFonts w:ascii="Arial" w:hAnsi="Arial"/>
                <w:sz w:val="18"/>
              </w:rPr>
              <w:t>2,607,130</w:t>
            </w:r>
          </w:p>
        </w:tc>
        <w:tc>
          <w:tcPr>
            <w:tcW w:type="dxa" w:w="1008"/>
          </w:tcPr>
          <w:p>
            <w:pPr>
              <w:spacing w:before="60" w:after="60"/>
            </w:pPr>
            <w:r>
              <w:rPr>
                <w:rFonts w:ascii="Arial" w:hAnsi="Arial"/>
                <w:sz w:val="18"/>
              </w:rPr>
              <w:t>4.5230</w:t>
            </w:r>
          </w:p>
        </w:tc>
        <w:tc>
          <w:tcPr>
            <w:tcW w:type="dxa" w:w="1008"/>
          </w:tcPr>
          <w:p>
            <w:pPr>
              <w:spacing w:before="60" w:after="60"/>
            </w:pPr>
            <w:r>
              <w:rPr>
                <w:rFonts w:ascii="Arial" w:hAnsi="Arial"/>
                <w:sz w:val="18"/>
              </w:rPr>
              <w:t>4.9072</w:t>
            </w:r>
          </w:p>
        </w:tc>
        <w:tc>
          <w:tcPr>
            <w:tcW w:type="dxa" w:w="1008"/>
          </w:tcPr>
          <w:p>
            <w:pPr>
              <w:spacing w:before="60" w:after="60"/>
            </w:pPr>
            <w:r>
              <w:rPr>
                <w:rFonts w:ascii="Arial" w:hAnsi="Arial"/>
                <w:sz w:val="18"/>
              </w:rPr>
              <w:t>4.8809</w:t>
            </w:r>
          </w:p>
        </w:tc>
        <w:tc>
          <w:tcPr>
            <w:tcW w:type="dxa" w:w="1152"/>
          </w:tcPr>
          <w:p>
            <w:pPr>
              <w:spacing w:before="60" w:after="60"/>
            </w:pPr>
            <w:r>
              <w:rPr>
                <w:rFonts w:ascii="Arial" w:hAnsi="Arial"/>
                <w:sz w:val="18"/>
              </w:rPr>
              <w:t>131.74</w:t>
            </w:r>
          </w:p>
        </w:tc>
        <w:tc>
          <w:tcPr>
            <w:tcW w:type="dxa" w:w="1152"/>
          </w:tcPr>
          <w:p>
            <w:pPr>
              <w:spacing w:before="60" w:after="60"/>
            </w:pPr>
            <w:r>
              <w:rPr>
                <w:rFonts w:ascii="Arial" w:hAnsi="Arial"/>
                <w:sz w:val="18"/>
              </w:rPr>
              <w:t>17.22%</w:t>
            </w:r>
          </w:p>
        </w:tc>
        <w:tc>
          <w:tcPr>
            <w:tcW w:type="dxa" w:w="1152"/>
          </w:tcPr>
          <w:p>
            <w:pPr>
              <w:spacing w:before="60" w:after="60"/>
            </w:pPr>
            <w:r>
              <w:rPr>
                <w:rFonts w:ascii="Arial" w:hAnsi="Arial"/>
                <w:sz w:val="18"/>
              </w:rPr>
              <w:t>38.59%</w:t>
            </w:r>
          </w:p>
        </w:tc>
        <w:tc>
          <w:tcPr>
            <w:tcW w:type="dxa" w:w="1152"/>
          </w:tcPr>
          <w:p>
            <w:pPr>
              <w:spacing w:before="60" w:after="60"/>
            </w:pPr>
            <w:r>
              <w:rPr>
                <w:rFonts w:ascii="Arial" w:hAnsi="Arial"/>
                <w:sz w:val="18"/>
              </w:rPr>
              <w:t>1.65</w:t>
            </w:r>
          </w:p>
        </w:tc>
      </w:tr>
      <w:tr>
        <w:tc>
          <w:tcPr>
            <w:tcW w:type="dxa" w:w="1872"/>
          </w:tcPr>
          <w:p>
            <w:pPr>
              <w:spacing w:before="60" w:after="60"/>
            </w:pPr>
            <w:r>
              <w:rPr>
                <w:rFonts w:ascii="Arial" w:hAnsi="Arial"/>
                <w:sz w:val="18"/>
              </w:rPr>
              <w:t>GRU</w:t>
            </w:r>
          </w:p>
        </w:tc>
        <w:tc>
          <w:tcPr>
            <w:tcW w:type="dxa" w:w="1296"/>
          </w:tcPr>
          <w:p>
            <w:pPr>
              <w:spacing w:before="60" w:after="60"/>
            </w:pPr>
            <w:r>
              <w:rPr>
                <w:rFonts w:ascii="Arial" w:hAnsi="Arial"/>
                <w:sz w:val="18"/>
              </w:rPr>
              <w:t>2,376,730</w:t>
            </w:r>
          </w:p>
        </w:tc>
        <w:tc>
          <w:tcPr>
            <w:tcW w:type="dxa" w:w="1008"/>
          </w:tcPr>
          <w:p>
            <w:pPr>
              <w:spacing w:before="60" w:after="60"/>
            </w:pPr>
            <w:r>
              <w:rPr>
                <w:rFonts w:ascii="Arial" w:hAnsi="Arial"/>
                <w:sz w:val="18"/>
              </w:rPr>
              <w:t>3.9477</w:t>
            </w:r>
          </w:p>
        </w:tc>
        <w:tc>
          <w:tcPr>
            <w:tcW w:type="dxa" w:w="1008"/>
          </w:tcPr>
          <w:p>
            <w:pPr>
              <w:spacing w:before="60" w:after="60"/>
            </w:pPr>
            <w:r>
              <w:rPr>
                <w:rFonts w:ascii="Arial" w:hAnsi="Arial"/>
                <w:sz w:val="18"/>
              </w:rPr>
              <w:t>4.9341</w:t>
            </w:r>
          </w:p>
        </w:tc>
        <w:tc>
          <w:tcPr>
            <w:tcW w:type="dxa" w:w="1008"/>
          </w:tcPr>
          <w:p>
            <w:pPr>
              <w:spacing w:before="60" w:after="60"/>
            </w:pPr>
            <w:r>
              <w:rPr>
                <w:rFonts w:ascii="Arial" w:hAnsi="Arial"/>
                <w:sz w:val="18"/>
              </w:rPr>
              <w:t>4.8602</w:t>
            </w:r>
          </w:p>
        </w:tc>
        <w:tc>
          <w:tcPr>
            <w:tcW w:type="dxa" w:w="1152"/>
          </w:tcPr>
          <w:p>
            <w:pPr>
              <w:spacing w:before="60" w:after="60"/>
            </w:pPr>
            <w:r>
              <w:rPr>
                <w:rFonts w:ascii="Arial" w:hAnsi="Arial"/>
                <w:sz w:val="18"/>
              </w:rPr>
              <w:t>129.05</w:t>
            </w:r>
          </w:p>
        </w:tc>
        <w:tc>
          <w:tcPr>
            <w:tcW w:type="dxa" w:w="1152"/>
          </w:tcPr>
          <w:p>
            <w:pPr>
              <w:spacing w:before="60" w:after="60"/>
            </w:pPr>
            <w:r>
              <w:rPr>
                <w:rFonts w:ascii="Arial" w:hAnsi="Arial"/>
                <w:sz w:val="18"/>
              </w:rPr>
              <w:t>17.86%</w:t>
            </w:r>
          </w:p>
        </w:tc>
        <w:tc>
          <w:tcPr>
            <w:tcW w:type="dxa" w:w="1152"/>
          </w:tcPr>
          <w:p>
            <w:pPr>
              <w:spacing w:before="60" w:after="60"/>
            </w:pPr>
            <w:r>
              <w:rPr>
                <w:rFonts w:ascii="Arial" w:hAnsi="Arial"/>
                <w:sz w:val="18"/>
              </w:rPr>
              <w:t>39.94%</w:t>
            </w:r>
          </w:p>
        </w:tc>
        <w:tc>
          <w:tcPr>
            <w:tcW w:type="dxa" w:w="1152"/>
          </w:tcPr>
          <w:p>
            <w:pPr>
              <w:spacing w:before="60" w:after="60"/>
            </w:pPr>
            <w:r>
              <w:rPr>
                <w:rFonts w:ascii="Arial" w:hAnsi="Arial"/>
                <w:sz w:val="18"/>
              </w:rPr>
              <w:t>5.92</w:t>
            </w:r>
          </w:p>
        </w:tc>
      </w:tr>
    </w:tbl>
    <w:p>
      <w:pPr>
        <w:spacing w:before="160" w:after="40"/>
        <w:jc w:val="center"/>
      </w:pPr>
      <w:r>
        <w:drawing>
          <wp:inline xmlns:a="http://schemas.openxmlformats.org/drawingml/2006/main" xmlns:pic="http://schemas.openxmlformats.org/drawingml/2006/picture">
            <wp:extent cx="5303520" cy="1894114"/>
            <wp:docPr id="6" name="Picture 6"/>
            <wp:cNvGraphicFramePr>
              <a:graphicFrameLocks noChangeAspect="1"/>
            </wp:cNvGraphicFramePr>
            <a:graphic>
              <a:graphicData uri="http://schemas.openxmlformats.org/drawingml/2006/picture">
                <pic:pic>
                  <pic:nvPicPr>
                    <pic:cNvPr id="0" name="loss_curves.png"/>
                    <pic:cNvPicPr/>
                  </pic:nvPicPr>
                  <pic:blipFill>
                    <a:blip r:embed="rId14"/>
                    <a:stretch>
                      <a:fillRect/>
                    </a:stretch>
                  </pic:blipFill>
                  <pic:spPr>
                    <a:xfrm>
                      <a:off x="0" y="0"/>
                      <a:ext cx="5303520" cy="1894114"/>
                    </a:xfrm>
                    <a:prstGeom prst="rect"/>
                  </pic:spPr>
                </pic:pic>
              </a:graphicData>
            </a:graphic>
          </wp:inline>
        </w:drawing>
      </w:r>
    </w:p>
    <w:p>
      <w:pPr>
        <w:spacing w:after="200"/>
        <w:jc w:val="center"/>
      </w:pPr>
      <w:r>
        <w:rPr>
          <w:rFonts w:ascii="Arial" w:hAnsi="Arial"/>
          <w:i/>
          <w:color w:val="555555"/>
          <w:sz w:val="17"/>
        </w:rPr>
        <w:t>Figure 6: Cross-entropy training and validation loss curves over 10 training epochs for Simple RNN, BiRNN, LSTM, and GRU.</w:t>
      </w:r>
    </w:p>
    <w:p>
      <w:pPr>
        <w:spacing w:before="160" w:after="4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perplexity_curves.png"/>
                    <pic:cNvPicPr/>
                  </pic:nvPicPr>
                  <pic:blipFill>
                    <a:blip r:embed="rId15"/>
                    <a:stretch>
                      <a:fillRect/>
                    </a:stretch>
                  </pic:blipFill>
                  <pic:spPr>
                    <a:xfrm>
                      <a:off x="0" y="0"/>
                      <a:ext cx="5303520" cy="2946400"/>
                    </a:xfrm>
                    <a:prstGeom prst="rect"/>
                  </pic:spPr>
                </pic:pic>
              </a:graphicData>
            </a:graphic>
          </wp:inline>
        </w:drawing>
      </w:r>
    </w:p>
    <w:p>
      <w:pPr>
        <w:spacing w:after="200"/>
        <w:jc w:val="center"/>
      </w:pPr>
      <w:r>
        <w:rPr>
          <w:rFonts w:ascii="Arial" w:hAnsi="Arial"/>
          <w:i/>
          <w:color w:val="555555"/>
          <w:sz w:val="17"/>
        </w:rPr>
        <w:t>Figure 7: Validation perplexity curves over training epochs, demonstrating GRU's superior convergence rate.</w:t>
      </w:r>
    </w:p>
    <w:p>
      <w:pPr>
        <w:spacing w:before="160" w:after="40"/>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accuracy_comparison.png"/>
                    <pic:cNvPicPr/>
                  </pic:nvPicPr>
                  <pic:blipFill>
                    <a:blip r:embed="rId16"/>
                    <a:stretch>
                      <a:fillRect/>
                    </a:stretch>
                  </pic:blipFill>
                  <pic:spPr>
                    <a:xfrm>
                      <a:off x="0" y="0"/>
                      <a:ext cx="5303520" cy="2946400"/>
                    </a:xfrm>
                    <a:prstGeom prst="rect"/>
                  </pic:spPr>
                </pic:pic>
              </a:graphicData>
            </a:graphic>
          </wp:inline>
        </w:drawing>
      </w:r>
    </w:p>
    <w:p>
      <w:pPr>
        <w:spacing w:after="200"/>
        <w:jc w:val="center"/>
      </w:pPr>
      <w:r>
        <w:rPr>
          <w:rFonts w:ascii="Arial" w:hAnsi="Arial"/>
          <w:i/>
          <w:color w:val="555555"/>
          <w:sz w:val="17"/>
        </w:rPr>
        <w:t>Figure 8: Next-word prediction accuracy comparison on held-out test data showing Top-1 and Top-5 accuracy percentages.</w:t>
      </w:r>
    </w:p>
    <w:p>
      <w:pPr>
        <w:spacing w:before="160" w:after="40"/>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efficiency_comparison.png"/>
                    <pic:cNvPicPr/>
                  </pic:nvPicPr>
                  <pic:blipFill>
                    <a:blip r:embed="rId17"/>
                    <a:stretch>
                      <a:fillRect/>
                    </a:stretch>
                  </pic:blipFill>
                  <pic:spPr>
                    <a:xfrm>
                      <a:off x="0" y="0"/>
                      <a:ext cx="5303520" cy="2946400"/>
                    </a:xfrm>
                    <a:prstGeom prst="rect"/>
                  </pic:spPr>
                </pic:pic>
              </a:graphicData>
            </a:graphic>
          </wp:inline>
        </w:drawing>
      </w:r>
    </w:p>
    <w:p>
      <w:pPr>
        <w:spacing w:after="200"/>
        <w:jc w:val="center"/>
      </w:pPr>
      <w:r>
        <w:rPr>
          <w:rFonts w:ascii="Arial" w:hAnsi="Arial"/>
          <w:i/>
          <w:color w:val="555555"/>
          <w:sz w:val="17"/>
        </w:rPr>
        <w:t>Figure 9: Computational efficiency trade-off: Trainable parameter count vs. batch inference latency (ms).</w:t>
      </w:r>
    </w:p>
    <w:p>
      <w:pPr>
        <w:pStyle w:val="Heading1"/>
      </w:pPr>
      <w:r>
        <w:rPr>
          <w:rFonts w:ascii="Arial" w:hAnsi="Arial"/>
          <w:b/>
          <w:color w:val="1B365D"/>
          <w:sz w:val="30"/>
        </w:rPr>
        <w:t>5. Qualitative Sampling &amp; Temperature Dynamics Analysis</w:t>
      </w:r>
    </w:p>
    <w:p>
      <w:r>
        <w:t>Autoregressive sequential generation was tested using three sampling temperature values: T = 0.2 (conservative / greedy), T = 0.7 (balanced stochasticity), and T = 1.2 (high entropy exploration). Diversity metrics were computed across 50 generated tokens: Distinct-1 (unigram diversity), Distinct-2 (bigram diversity), and 3-Gram Repetition Rate (percentage of repeated trigrams).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160"/>
            <w:shd w:fill="1B365D"/>
          </w:tcPr>
          <w:p>
            <w:pPr>
              <w:spacing w:before="60" w:after="60"/>
            </w:pPr>
            <w:r>
              <w:rPr>
                <w:rFonts w:ascii="Arial" w:hAnsi="Arial"/>
                <w:b/>
                <w:color w:val="FFFFFF"/>
                <w:sz w:val="18"/>
              </w:rPr>
              <w:t>Model</w:t>
            </w:r>
          </w:p>
        </w:tc>
        <w:tc>
          <w:tcPr>
            <w:tcW w:type="dxa" w:w="1728"/>
            <w:shd w:fill="1B365D"/>
          </w:tcPr>
          <w:p>
            <w:pPr>
              <w:spacing w:before="60" w:after="60"/>
            </w:pPr>
            <w:r>
              <w:rPr>
                <w:rFonts w:ascii="Arial" w:hAnsi="Arial"/>
                <w:b/>
                <w:color w:val="FFFFFF"/>
                <w:sz w:val="18"/>
              </w:rPr>
              <w:t>Temperature (T)</w:t>
            </w:r>
          </w:p>
        </w:tc>
        <w:tc>
          <w:tcPr>
            <w:tcW w:type="dxa" w:w="1584"/>
            <w:shd w:fill="1B365D"/>
          </w:tcPr>
          <w:p>
            <w:pPr>
              <w:spacing w:before="60" w:after="60"/>
            </w:pPr>
            <w:r>
              <w:rPr>
                <w:rFonts w:ascii="Arial" w:hAnsi="Arial"/>
                <w:b/>
                <w:color w:val="FFFFFF"/>
                <w:sz w:val="18"/>
              </w:rPr>
              <w:t>Distinct-1</w:t>
            </w:r>
          </w:p>
        </w:tc>
        <w:tc>
          <w:tcPr>
            <w:tcW w:type="dxa" w:w="1584"/>
            <w:shd w:fill="1B365D"/>
          </w:tcPr>
          <w:p>
            <w:pPr>
              <w:spacing w:before="60" w:after="60"/>
            </w:pPr>
            <w:r>
              <w:rPr>
                <w:rFonts w:ascii="Arial" w:hAnsi="Arial"/>
                <w:b/>
                <w:color w:val="FFFFFF"/>
                <w:sz w:val="18"/>
              </w:rPr>
              <w:t>Distinct-2</w:t>
            </w:r>
          </w:p>
        </w:tc>
        <w:tc>
          <w:tcPr>
            <w:tcW w:type="dxa" w:w="2592"/>
            <w:shd w:fill="1B365D"/>
          </w:tcPr>
          <w:p>
            <w:pPr>
              <w:spacing w:before="60" w:after="60"/>
            </w:pPr>
            <w:r>
              <w:rPr>
                <w:rFonts w:ascii="Arial" w:hAnsi="Arial"/>
                <w:b/>
                <w:color w:val="FFFFFF"/>
                <w:sz w:val="18"/>
              </w:rPr>
              <w:t>3-Gram Repetition Rate (%)</w:t>
            </w:r>
          </w:p>
        </w:tc>
      </w:tr>
      <w:tr>
        <w:tc>
          <w:tcPr>
            <w:tcW w:type="dxa" w:w="2160"/>
          </w:tcPr>
          <w:p>
            <w:pPr>
              <w:spacing w:before="60" w:after="60"/>
            </w:pPr>
            <w:r>
              <w:rPr>
                <w:rFonts w:ascii="Arial" w:hAnsi="Arial"/>
                <w:sz w:val="18"/>
              </w:rPr>
              <w:t>Simple RNN</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0.5529</w:t>
            </w:r>
          </w:p>
        </w:tc>
        <w:tc>
          <w:tcPr>
            <w:tcW w:type="dxa" w:w="1584"/>
          </w:tcPr>
          <w:p>
            <w:pPr>
              <w:spacing w:before="60" w:after="60"/>
            </w:pPr>
            <w:r>
              <w:rPr>
                <w:rFonts w:ascii="Arial" w:hAnsi="Arial"/>
                <w:sz w:val="18"/>
              </w:rPr>
              <w:t>0.7838</w:t>
            </w:r>
          </w:p>
        </w:tc>
        <w:tc>
          <w:tcPr>
            <w:tcW w:type="dxa" w:w="2592"/>
          </w:tcPr>
          <w:p>
            <w:pPr>
              <w:spacing w:before="60" w:after="60"/>
            </w:pPr>
            <w:r>
              <w:rPr>
                <w:rFonts w:ascii="Arial" w:hAnsi="Arial"/>
                <w:sz w:val="18"/>
              </w:rPr>
              <w:t>25.51%</w:t>
            </w:r>
          </w:p>
        </w:tc>
      </w:tr>
      <w:tr>
        <w:tc>
          <w:tcPr>
            <w:tcW w:type="dxa" w:w="2160"/>
          </w:tcPr>
          <w:p>
            <w:pPr>
              <w:spacing w:before="60" w:after="60"/>
            </w:pPr>
            <w:r>
              <w:rPr>
                <w:rFonts w:ascii="Arial" w:hAnsi="Arial"/>
                <w:sz w:val="18"/>
              </w:rPr>
              <w:t>Simple RNN</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0.8049</w:t>
            </w:r>
          </w:p>
        </w:tc>
        <w:tc>
          <w:tcPr>
            <w:tcW w:type="dxa" w:w="1584"/>
          </w:tcPr>
          <w:p>
            <w:pPr>
              <w:spacing w:before="60" w:after="60"/>
            </w:pPr>
            <w:r>
              <w:rPr>
                <w:rFonts w:ascii="Arial" w:hAnsi="Arial"/>
                <w:sz w:val="18"/>
              </w:rPr>
              <w:t>0.9917</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Simple RNN</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0.8766</w:t>
            </w:r>
          </w:p>
        </w:tc>
        <w:tc>
          <w:tcPr>
            <w:tcW w:type="dxa" w:w="1584"/>
          </w:tcPr>
          <w:p>
            <w:pPr>
              <w:spacing w:before="60" w:after="60"/>
            </w:pPr>
            <w:r>
              <w:rPr>
                <w:rFonts w:ascii="Arial" w:hAnsi="Arial"/>
                <w:sz w:val="18"/>
              </w:rPr>
              <w:t>1.0000</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Bidirectional RNN</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0.5728</w:t>
            </w:r>
          </w:p>
        </w:tc>
        <w:tc>
          <w:tcPr>
            <w:tcW w:type="dxa" w:w="1584"/>
          </w:tcPr>
          <w:p>
            <w:pPr>
              <w:spacing w:before="60" w:after="60"/>
            </w:pPr>
            <w:r>
              <w:rPr>
                <w:rFonts w:ascii="Arial" w:hAnsi="Arial"/>
                <w:sz w:val="18"/>
              </w:rPr>
              <w:t>0.7667</w:t>
            </w:r>
          </w:p>
        </w:tc>
        <w:tc>
          <w:tcPr>
            <w:tcW w:type="dxa" w:w="2592"/>
          </w:tcPr>
          <w:p>
            <w:pPr>
              <w:spacing w:before="60" w:after="60"/>
            </w:pPr>
            <w:r>
              <w:rPr>
                <w:rFonts w:ascii="Arial" w:hAnsi="Arial"/>
                <w:sz w:val="18"/>
              </w:rPr>
              <w:t>25.03%</w:t>
            </w:r>
          </w:p>
        </w:tc>
      </w:tr>
      <w:tr>
        <w:tc>
          <w:tcPr>
            <w:tcW w:type="dxa" w:w="2160"/>
          </w:tcPr>
          <w:p>
            <w:pPr>
              <w:spacing w:before="60" w:after="60"/>
            </w:pPr>
            <w:r>
              <w:rPr>
                <w:rFonts w:ascii="Arial" w:hAnsi="Arial"/>
                <w:sz w:val="18"/>
              </w:rPr>
              <w:t>Bidirectional RNN</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0.7782</w:t>
            </w:r>
          </w:p>
        </w:tc>
        <w:tc>
          <w:tcPr>
            <w:tcW w:type="dxa" w:w="1584"/>
          </w:tcPr>
          <w:p>
            <w:pPr>
              <w:spacing w:before="60" w:after="60"/>
            </w:pPr>
            <w:r>
              <w:rPr>
                <w:rFonts w:ascii="Arial" w:hAnsi="Arial"/>
                <w:sz w:val="18"/>
              </w:rPr>
              <w:t>0.9641</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Bidirectional RNN</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0.8911</w:t>
            </w:r>
          </w:p>
        </w:tc>
        <w:tc>
          <w:tcPr>
            <w:tcW w:type="dxa" w:w="1584"/>
          </w:tcPr>
          <w:p>
            <w:pPr>
              <w:spacing w:before="60" w:after="60"/>
            </w:pPr>
            <w:r>
              <w:rPr>
                <w:rFonts w:ascii="Arial" w:hAnsi="Arial"/>
                <w:sz w:val="18"/>
              </w:rPr>
              <w:t>1.0000</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LSTM</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0.5577</w:t>
            </w:r>
          </w:p>
        </w:tc>
        <w:tc>
          <w:tcPr>
            <w:tcW w:type="dxa" w:w="1584"/>
          </w:tcPr>
          <w:p>
            <w:pPr>
              <w:spacing w:before="60" w:after="60"/>
            </w:pPr>
            <w:r>
              <w:rPr>
                <w:rFonts w:ascii="Arial" w:hAnsi="Arial"/>
                <w:sz w:val="18"/>
              </w:rPr>
              <w:t>0.8075</w:t>
            </w:r>
          </w:p>
        </w:tc>
        <w:tc>
          <w:tcPr>
            <w:tcW w:type="dxa" w:w="2592"/>
          </w:tcPr>
          <w:p>
            <w:pPr>
              <w:spacing w:before="60" w:after="60"/>
            </w:pPr>
            <w:r>
              <w:rPr>
                <w:rFonts w:ascii="Arial" w:hAnsi="Arial"/>
                <w:sz w:val="18"/>
              </w:rPr>
              <w:t>18.80%</w:t>
            </w:r>
          </w:p>
        </w:tc>
      </w:tr>
      <w:tr>
        <w:tc>
          <w:tcPr>
            <w:tcW w:type="dxa" w:w="2160"/>
          </w:tcPr>
          <w:p>
            <w:pPr>
              <w:spacing w:before="60" w:after="60"/>
            </w:pPr>
            <w:r>
              <w:rPr>
                <w:rFonts w:ascii="Arial" w:hAnsi="Arial"/>
                <w:sz w:val="18"/>
              </w:rPr>
              <w:t>LSTM</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0.7032</w:t>
            </w:r>
          </w:p>
        </w:tc>
        <w:tc>
          <w:tcPr>
            <w:tcW w:type="dxa" w:w="1584"/>
          </w:tcPr>
          <w:p>
            <w:pPr>
              <w:spacing w:before="60" w:after="60"/>
            </w:pPr>
            <w:r>
              <w:rPr>
                <w:rFonts w:ascii="Arial" w:hAnsi="Arial"/>
                <w:sz w:val="18"/>
              </w:rPr>
              <w:t>0.9921</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LSTM</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0.8645</w:t>
            </w:r>
          </w:p>
        </w:tc>
        <w:tc>
          <w:tcPr>
            <w:tcW w:type="dxa" w:w="1584"/>
          </w:tcPr>
          <w:p>
            <w:pPr>
              <w:spacing w:before="60" w:after="60"/>
            </w:pPr>
            <w:r>
              <w:rPr>
                <w:rFonts w:ascii="Arial" w:hAnsi="Arial"/>
                <w:sz w:val="18"/>
              </w:rPr>
              <w:t>0.9915</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GRU</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0.5633</w:t>
            </w:r>
          </w:p>
        </w:tc>
        <w:tc>
          <w:tcPr>
            <w:tcW w:type="dxa" w:w="1584"/>
          </w:tcPr>
          <w:p>
            <w:pPr>
              <w:spacing w:before="60" w:after="60"/>
            </w:pPr>
            <w:r>
              <w:rPr>
                <w:rFonts w:ascii="Arial" w:hAnsi="Arial"/>
                <w:sz w:val="18"/>
              </w:rPr>
              <w:t>0.7967</w:t>
            </w:r>
          </w:p>
        </w:tc>
        <w:tc>
          <w:tcPr>
            <w:tcW w:type="dxa" w:w="2592"/>
          </w:tcPr>
          <w:p>
            <w:pPr>
              <w:spacing w:before="60" w:after="60"/>
            </w:pPr>
            <w:r>
              <w:rPr>
                <w:rFonts w:ascii="Arial" w:hAnsi="Arial"/>
                <w:sz w:val="18"/>
              </w:rPr>
              <w:t>15.86%</w:t>
            </w:r>
          </w:p>
        </w:tc>
      </w:tr>
      <w:tr>
        <w:tc>
          <w:tcPr>
            <w:tcW w:type="dxa" w:w="2160"/>
          </w:tcPr>
          <w:p>
            <w:pPr>
              <w:spacing w:before="60" w:after="60"/>
            </w:pPr>
            <w:r>
              <w:rPr>
                <w:rFonts w:ascii="Arial" w:hAnsi="Arial"/>
                <w:sz w:val="18"/>
              </w:rPr>
              <w:t>GRU</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0.7368</w:t>
            </w:r>
          </w:p>
        </w:tc>
        <w:tc>
          <w:tcPr>
            <w:tcW w:type="dxa" w:w="1584"/>
          </w:tcPr>
          <w:p>
            <w:pPr>
              <w:spacing w:before="60" w:after="60"/>
            </w:pPr>
            <w:r>
              <w:rPr>
                <w:rFonts w:ascii="Arial" w:hAnsi="Arial"/>
                <w:sz w:val="18"/>
              </w:rPr>
              <w:t>0.9720</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GRU</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0.8368</w:t>
            </w:r>
          </w:p>
        </w:tc>
        <w:tc>
          <w:tcPr>
            <w:tcW w:type="dxa" w:w="1584"/>
          </w:tcPr>
          <w:p>
            <w:pPr>
              <w:spacing w:before="60" w:after="60"/>
            </w:pPr>
            <w:r>
              <w:rPr>
                <w:rFonts w:ascii="Arial" w:hAnsi="Arial"/>
                <w:sz w:val="18"/>
              </w:rPr>
              <w:t>0.9921</w:t>
            </w:r>
          </w:p>
        </w:tc>
        <w:tc>
          <w:tcPr>
            <w:tcW w:type="dxa" w:w="2592"/>
          </w:tcPr>
          <w:p>
            <w:pPr>
              <w:spacing w:before="60" w:after="60"/>
            </w:pPr>
            <w:r>
              <w:rPr>
                <w:rFonts w:ascii="Arial" w:hAnsi="Arial"/>
                <w:sz w:val="18"/>
              </w:rPr>
              <w:t>0.00%</w:t>
            </w:r>
          </w:p>
        </w:tc>
      </w:tr>
    </w:tbl>
    <w:p>
      <w:pPr>
        <w:spacing w:before="160" w:after="40"/>
        <w:jc w:val="center"/>
      </w:pPr>
      <w:r>
        <w:drawing>
          <wp:inline xmlns:a="http://schemas.openxmlformats.org/drawingml/2006/main" xmlns:pic="http://schemas.openxmlformats.org/drawingml/2006/picture">
            <wp:extent cx="5486400" cy="1714500"/>
            <wp:docPr id="10" name="Picture 10"/>
            <wp:cNvGraphicFramePr>
              <a:graphicFrameLocks noChangeAspect="1"/>
            </wp:cNvGraphicFramePr>
            <a:graphic>
              <a:graphicData uri="http://schemas.openxmlformats.org/drawingml/2006/picture">
                <pic:pic>
                  <pic:nvPicPr>
                    <pic:cNvPr id="0" name="qualitative_metrics.png"/>
                    <pic:cNvPicPr/>
                  </pic:nvPicPr>
                  <pic:blipFill>
                    <a:blip r:embed="rId18"/>
                    <a:stretch>
                      <a:fillRect/>
                    </a:stretch>
                  </pic:blipFill>
                  <pic:spPr>
                    <a:xfrm>
                      <a:off x="0" y="0"/>
                      <a:ext cx="5486400" cy="1714500"/>
                    </a:xfrm>
                    <a:prstGeom prst="rect"/>
                  </pic:spPr>
                </pic:pic>
              </a:graphicData>
            </a:graphic>
          </wp:inline>
        </w:drawing>
      </w:r>
    </w:p>
    <w:p>
      <w:pPr>
        <w:spacing w:after="200"/>
        <w:jc w:val="center"/>
      </w:pPr>
      <w:r>
        <w:rPr>
          <w:rFonts w:ascii="Arial" w:hAnsi="Arial"/>
          <w:i/>
          <w:color w:val="555555"/>
          <w:sz w:val="17"/>
        </w:rPr>
        <w:t>Figure 10: Multi-metric temperature response showing Distinct-1, Distinct-2, and Repetition Rate dynamics across T in {0.2, 0.7, 1.2}.</w:t>
      </w:r>
    </w:p>
    <w:p>
      <w:pPr>
        <w:pStyle w:val="Heading1"/>
      </w:pPr>
      <w:r>
        <w:rPr>
          <w:rFonts w:ascii="Arial" w:hAnsi="Arial"/>
          <w:b/>
          <w:color w:val="1B365D"/>
          <w:sz w:val="30"/>
        </w:rPr>
        <w:t>6. Qualitative Text Generation Samples (T = 0.7)</w:t>
      </w:r>
    </w:p>
    <w:p>
      <w:pPr>
        <w:spacing w:before="80" w:after="80"/>
      </w:pPr>
      <w:r>
        <w:rPr>
          <w:b/>
          <w:color w:val="1B365D"/>
          <w:sz w:val="19"/>
        </w:rPr>
        <w:t>[LSTM | Temperature = 0.7 | Seed: Seed 1]</w:t>
        <w:br/>
      </w:r>
      <w:r>
        <w:rPr>
          <w:i/>
          <w:sz w:val="18"/>
        </w:rPr>
        <w:t>"it was a dark and stormy night when i had not done the looking. i was not bad a word, said holmes. he would be staggered that i came by the evening of the inquiry s death, and i have been made. the"</w:t>
        <w:br/>
      </w:r>
      <w:r>
        <w:rPr>
          <w:color w:val="666666"/>
          <w:sz w:val="16"/>
        </w:rPr>
        <w:t>Metrics: Distinct-1 = 0.7368 | Distinct-2 = 1.0000 | Repetition Rate = 0.00%</w:t>
        <w:br/>
      </w:r>
    </w:p>
    <w:p>
      <w:pPr>
        <w:spacing w:before="80" w:after="80"/>
      </w:pPr>
      <w:r>
        <w:rPr>
          <w:b/>
          <w:color w:val="1B365D"/>
          <w:sz w:val="19"/>
        </w:rPr>
        <w:t>[LSTM | Temperature = 0.7 | Seed: Seed 2]</w:t>
        <w:br/>
      </w:r>
      <w:r>
        <w:rPr>
          <w:i/>
          <w:sz w:val="18"/>
        </w:rPr>
        <w:t>"holmes sat in silence for a few minutes and then said he was a small of in the north of the order in the fire, i had not been just a family, and i have been better by the matter. the lamp is a man s need,"</w:t>
        <w:br/>
      </w:r>
      <w:r>
        <w:rPr>
          <w:color w:val="666666"/>
          <w:sz w:val="16"/>
        </w:rPr>
        <w:t>Metrics: Distinct-1 = 0.6977 | Distinct-2 = 0.9762 | Repetition Rate = 0.00%</w:t>
        <w:br/>
      </w:r>
    </w:p>
    <w:p>
      <w:pPr>
        <w:spacing w:before="80" w:after="80"/>
      </w:pPr>
      <w:r>
        <w:rPr>
          <w:b/>
          <w:color w:val="1B365D"/>
          <w:sz w:val="19"/>
        </w:rPr>
        <w:t>[LSTM | Temperature = 0.7 | Seed: Seed 3]</w:t>
        <w:br/>
      </w:r>
      <w:r>
        <w:rPr>
          <w:i/>
          <w:sz w:val="18"/>
        </w:rPr>
        <w:t>"the police had discovered no clue regarding the mystery of the passage. but i am, and i have been already for his time, i remarked, remarked i imagine that i had no man upon the sufferer s s paper. i could not see that the"</w:t>
        <w:br/>
      </w:r>
      <w:r>
        <w:rPr>
          <w:color w:val="666666"/>
          <w:sz w:val="16"/>
        </w:rPr>
        <w:t>Metrics: Distinct-1 = 0.6750 | Distinct-2 = 1.0000 | Repetition Rate = 0.00%</w:t>
        <w:br/>
      </w:r>
    </w:p>
    <w:p>
      <w:pPr>
        <w:spacing w:before="80" w:after="80"/>
      </w:pPr>
      <w:r>
        <w:rPr>
          <w:b/>
          <w:color w:val="1B365D"/>
          <w:sz w:val="19"/>
        </w:rPr>
        <w:t>[GRU | Temperature = 0.7 | Seed: Seed 1]</w:t>
        <w:br/>
      </w:r>
      <w:r>
        <w:rPr>
          <w:i/>
          <w:sz w:val="18"/>
        </w:rPr>
        <w:t>"it was a dark and stormy night when a man later, and this herself choked, with a huge hair of great very town to the circumstances. we have now been able to the house, and two of the gale. but he had been"</w:t>
        <w:br/>
      </w:r>
      <w:r>
        <w:rPr>
          <w:color w:val="666666"/>
          <w:sz w:val="16"/>
        </w:rPr>
        <w:t>Metrics: Distinct-1 = 0.7632 | Distinct-2 = 0.9730 | Repetition Rate = 0.00%</w:t>
        <w:br/>
      </w:r>
    </w:p>
    <w:p>
      <w:pPr>
        <w:pStyle w:val="Heading1"/>
      </w:pPr>
      <w:r>
        <w:rPr>
          <w:rFonts w:ascii="Arial" w:hAnsi="Arial"/>
          <w:b/>
          <w:color w:val="1B365D"/>
          <w:sz w:val="30"/>
        </w:rPr>
        <w:t>7. Comparative Architecture Analysis &amp; Conclusions</w:t>
      </w:r>
    </w:p>
    <w:p>
      <w:pPr>
        <w:pStyle w:val="ListBullet"/>
        <w:spacing w:before="40" w:after="60"/>
      </w:pPr>
      <w:r>
        <w:rPr>
          <w:rFonts w:ascii="Arial" w:hAnsi="Arial"/>
          <w:b/>
          <w:color w:val="1B365D"/>
          <w:sz w:val="19"/>
        </w:rPr>
        <w:t xml:space="preserve">Champion Architecture (GRU): </w:t>
      </w:r>
      <w:r>
        <w:rPr>
          <w:rFonts w:ascii="Arial" w:hAnsi="Arial"/>
          <w:sz w:val="19"/>
        </w:rPr>
        <w:t>The Gated Recurrent Unit achieved the best quantitative performance across all metrics: lowest Test Loss (4.8810), lowest Test Perplexity (131.77), highest Top-1 Accuracy (18.05%), and highest Top-5 Accuracy (38.86%). Compared to random guessing over 4,378 tokens (0.023%), the GRU is 785x more accurate. Its coupled update-reset gating enables effective long-range gradient propagation with fewer parameters (2.38M) than LSTM.</w:t>
      </w:r>
    </w:p>
    <w:p>
      <w:pPr>
        <w:pStyle w:val="ListBullet"/>
        <w:spacing w:before="40" w:after="60"/>
      </w:pPr>
      <w:r>
        <w:rPr>
          <w:rFonts w:ascii="Arial" w:hAnsi="Arial"/>
          <w:b/>
          <w:color w:val="1B365D"/>
          <w:sz w:val="19"/>
        </w:rPr>
        <w:t xml:space="preserve">LSTM Competitiveness &amp; Speed: </w:t>
      </w:r>
      <w:r>
        <w:rPr>
          <w:rFonts w:ascii="Arial" w:hAnsi="Arial"/>
          <w:sz w:val="19"/>
        </w:rPr>
        <w:t>LSTM was the second-best model (Test Loss 4.9057, PPL 135.06, Top-1 Acc 16.47%, Top-5 Acc 37.95%) and exhibited the lowest inference latency (1.85 ms per batch), making it highly competitive for latency-critical deployment.</w:t>
      </w:r>
    </w:p>
    <w:p>
      <w:pPr>
        <w:pStyle w:val="ListBullet"/>
        <w:spacing w:before="40" w:after="60"/>
      </w:pPr>
      <w:r>
        <w:rPr>
          <w:rFonts w:ascii="Arial" w:hAnsi="Arial"/>
          <w:b/>
          <w:color w:val="1B365D"/>
          <w:sz w:val="19"/>
        </w:rPr>
        <w:t xml:space="preserve">Simple RNN Vanishing Gradients: </w:t>
      </w:r>
      <w:r>
        <w:rPr>
          <w:rFonts w:ascii="Arial" w:hAnsi="Arial"/>
          <w:sz w:val="19"/>
        </w:rPr>
        <w:t>The un-gated Simple RNN suffered from vanishing gradients across the 20-token horizon, yielding the highest Test Perplexity (158.44) and lowest accuracy (Top-1 15.61%). At low temperature (T=0.2), Simple RNN succumbed to severe degenerate repetition loops (22.12% 3-gram repetition).</w:t>
      </w:r>
    </w:p>
    <w:p>
      <w:pPr>
        <w:pStyle w:val="ListBullet"/>
        <w:spacing w:before="40" w:after="60"/>
      </w:pPr>
      <w:r>
        <w:rPr>
          <w:rFonts w:ascii="Arial" w:hAnsi="Arial"/>
          <w:b/>
          <w:color w:val="1B365D"/>
          <w:sz w:val="19"/>
        </w:rPr>
        <w:t xml:space="preserve">Bidirectional RNN Causal Mismatch: </w:t>
      </w:r>
      <w:r>
        <w:rPr>
          <w:rFonts w:ascii="Arial" w:hAnsi="Arial"/>
          <w:sz w:val="19"/>
        </w:rPr>
        <w:t>BiRNN achieved reasonable training metrics but is structurally incompatible with autoregressive generation: bidirectional encoding conditions on future tokens during training, which are unavailable during sequential next-word generation. This causal mismatch produced high repetition loops (27.67% at T=0.2).</w:t>
      </w:r>
    </w:p>
    <w:p>
      <w:pPr>
        <w:pStyle w:val="ListBullet"/>
        <w:spacing w:before="40" w:after="60"/>
      </w:pPr>
      <w:r>
        <w:rPr>
          <w:rFonts w:ascii="Arial" w:hAnsi="Arial"/>
          <w:b/>
          <w:color w:val="1B365D"/>
          <w:sz w:val="19"/>
        </w:rPr>
        <w:t xml:space="preserve">Optimal Operational Temperature (T = 0.7): </w:t>
      </w:r>
      <w:r>
        <w:rPr>
          <w:rFonts w:ascii="Arial" w:hAnsi="Arial"/>
          <w:sz w:val="19"/>
        </w:rPr>
        <w:t>Temperature T = 0.7 represents the empirical sweet spot between coherence and diversity: Distinct-1 reached 0.76-0.79, Distinct-2 reached 0.98-0.99, and 3-gram repetition was completely eradicated (0.00% for both GRU and LSTM). In contrast, T = 0.2 causes repetitive mode collapse, while T = 1.2 induces syntactic disintegration.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