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Minimum Project Requirements: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4 Action delegates, 3 passing data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4 coroutines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 Instances of Inheritance 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 Instances of interfaces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3 Uses of Polymorphism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5 different Mono Behaviors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 lists using Add() and other methods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Use of Functions that Return values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Use of Functions with parameters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Use of Static Variables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Use of Static Functions 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 Switch Statements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 Whiles loops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 For Loops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</w:pPr>
      <w:r>
        <w:rPr>
          <w:rFonts w:ascii="Helvetica" w:hAnsi="Helvetica" w:cs="Helvetica" w:eastAsia="Helvetica"/>
          <w:color w:val="FF0000"/>
          <w:spacing w:val="0"/>
          <w:position w:val="0"/>
          <w:sz w:val="21"/>
          <w:shd w:fill="FF0000" w:val="clear"/>
        </w:rPr>
        <w:t xml:space="preserve">2 Foreach Loops</w:t>
      </w:r>
    </w:p>
    <w:p>
      <w:pPr>
        <w:spacing w:before="180" w:after="18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180" w:after="18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Project Restrictions:</w:t>
      </w:r>
    </w:p>
    <w:p>
      <w:pPr>
        <w:spacing w:before="180" w:after="180" w:line="240"/>
        <w:ind w:right="0" w:left="0" w:firstLine="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Points withdrawn for use of: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Scripts repeat without the use of functions or loops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Update more than once in the game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GameObject.Find or any related, or similar Methods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The use of “else if” more than once in an if statement rather than a switch statement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The use of tags instead of layers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Instantiate 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Destroy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375" w:hanging="360"/>
        <w:jc w:val="left"/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2D3B45"/>
          <w:spacing w:val="0"/>
          <w:position w:val="0"/>
          <w:sz w:val="21"/>
          <w:shd w:fill="FFFFFF" w:val="clear"/>
        </w:rPr>
        <w:t xml:space="preserve">RayCasting or any related or similar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