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9220455f42df4eb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9220455f42df4eb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