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D69DB" w14:textId="77777777" w:rsidR="00C93351" w:rsidRDefault="00C93351" w:rsidP="00C93351">
      <w:pPr>
        <w:jc w:val="center"/>
        <w:rPr>
          <w:rFonts w:ascii="Verdana" w:hAnsi="Verdana"/>
          <w:sz w:val="36"/>
          <w:szCs w:val="36"/>
        </w:rPr>
      </w:pPr>
      <w:r>
        <w:rPr>
          <w:rFonts w:ascii="Verdana" w:hAnsi="Verdana"/>
          <w:sz w:val="36"/>
          <w:szCs w:val="36"/>
        </w:rPr>
        <w:t xml:space="preserve">Winter 2025 CS 497 </w:t>
      </w:r>
      <w:r w:rsidRPr="00377C28">
        <w:rPr>
          <w:rFonts w:ascii="Verdana" w:hAnsi="Verdana"/>
          <w:sz w:val="36"/>
          <w:szCs w:val="36"/>
        </w:rPr>
        <w:t>Capstone Project</w:t>
      </w:r>
    </w:p>
    <w:p w14:paraId="3C02EF91" w14:textId="77777777" w:rsidR="00C93351" w:rsidRPr="006B0CE1" w:rsidRDefault="00C93351" w:rsidP="00C93351">
      <w:pPr>
        <w:jc w:val="center"/>
        <w:rPr>
          <w:rFonts w:ascii="Verdana" w:hAnsi="Verdana"/>
          <w:sz w:val="36"/>
          <w:szCs w:val="36"/>
        </w:rPr>
      </w:pPr>
      <w:r>
        <w:rPr>
          <w:rFonts w:ascii="Verdana" w:hAnsi="Verdana"/>
          <w:sz w:val="36"/>
          <w:szCs w:val="36"/>
        </w:rPr>
        <w:t>Related Work (Progress Report)</w:t>
      </w:r>
    </w:p>
    <w:p w14:paraId="57AD7500" w14:textId="77777777" w:rsidR="00C93351" w:rsidRPr="00377C28" w:rsidRDefault="00C93351" w:rsidP="00C93351">
      <w:pPr>
        <w:jc w:val="center"/>
        <w:rPr>
          <w:rFonts w:ascii="Verdana" w:hAnsi="Verdana"/>
          <w:sz w:val="36"/>
          <w:szCs w:val="36"/>
        </w:rPr>
      </w:pPr>
      <w:r w:rsidRPr="00377C28">
        <w:rPr>
          <w:rFonts w:ascii="Verdana" w:hAnsi="Verdana"/>
          <w:sz w:val="36"/>
          <w:szCs w:val="36"/>
        </w:rPr>
        <w:br/>
      </w:r>
      <w:r>
        <w:rPr>
          <w:rFonts w:ascii="Verdana" w:hAnsi="Verdana"/>
          <w:sz w:val="36"/>
          <w:szCs w:val="36"/>
        </w:rPr>
        <w:t>Enhancing Aerospace Supply Chain Resilience: A Predictive Analytics Approach to Mitigate Lead-Time Volatility</w:t>
      </w:r>
    </w:p>
    <w:p w14:paraId="346E6D59" w14:textId="77777777" w:rsidR="00C93351" w:rsidRPr="00377C28" w:rsidRDefault="00C93351" w:rsidP="00C93351">
      <w:pPr>
        <w:jc w:val="center"/>
        <w:rPr>
          <w:rFonts w:ascii="Verdana" w:hAnsi="Verdana" w:cs="Arial"/>
        </w:rPr>
      </w:pPr>
    </w:p>
    <w:p w14:paraId="0B65BBD6" w14:textId="77777777" w:rsidR="00C93351" w:rsidRPr="00377C28" w:rsidRDefault="00C93351" w:rsidP="00C93351">
      <w:pPr>
        <w:rPr>
          <w:rFonts w:ascii="Verdana" w:hAnsi="Verdana" w:cs="Arial"/>
        </w:rPr>
      </w:pPr>
    </w:p>
    <w:p w14:paraId="58E3C5AD" w14:textId="77777777" w:rsidR="00C93351" w:rsidRDefault="00C93351" w:rsidP="00C93351">
      <w:pPr>
        <w:jc w:val="center"/>
        <w:rPr>
          <w:rFonts w:ascii="Verdana" w:hAnsi="Verdana" w:cs="Arial"/>
          <w:noProof/>
        </w:rPr>
      </w:pPr>
      <w:r>
        <w:rPr>
          <w:rFonts w:ascii="Verdana" w:hAnsi="Verdana" w:cs="Arial"/>
          <w:noProof/>
        </w:rPr>
        <w:t>Parmbir Singh</w:t>
      </w:r>
    </w:p>
    <w:p w14:paraId="35235BE2" w14:textId="77777777" w:rsidR="00C93351" w:rsidRDefault="00C93351" w:rsidP="00C93351">
      <w:pPr>
        <w:jc w:val="center"/>
        <w:rPr>
          <w:rFonts w:ascii="Verdana" w:hAnsi="Verdana" w:cs="Arial"/>
        </w:rPr>
      </w:pPr>
      <w:r>
        <w:rPr>
          <w:rFonts w:ascii="Verdana" w:hAnsi="Verdana" w:cs="Arial"/>
          <w:noProof/>
        </w:rPr>
        <w:t>Advisor:  Tomas Huber</w:t>
      </w:r>
    </w:p>
    <w:p w14:paraId="2888C55E" w14:textId="77777777" w:rsidR="00C93351" w:rsidRDefault="00C93351" w:rsidP="00C93351">
      <w:pPr>
        <w:jc w:val="center"/>
        <w:rPr>
          <w:rFonts w:ascii="Verdana" w:hAnsi="Verdana" w:cs="Arial"/>
          <w:noProof/>
        </w:rPr>
      </w:pPr>
      <w:r>
        <w:rPr>
          <w:rFonts w:ascii="Verdana" w:hAnsi="Verdana" w:cs="Arial"/>
          <w:noProof/>
        </w:rPr>
        <w:t>BS in Computer Science</w:t>
      </w:r>
      <w:r>
        <w:rPr>
          <w:rFonts w:ascii="Verdana" w:hAnsi="Verdana" w:cs="Arial"/>
          <w:noProof/>
        </w:rPr>
        <w:br/>
        <w:t>School of Technology and Computing (STC)</w:t>
      </w:r>
    </w:p>
    <w:p w14:paraId="22087FF1" w14:textId="77777777" w:rsidR="00C93351" w:rsidRDefault="00C93351" w:rsidP="00C93351">
      <w:pPr>
        <w:jc w:val="center"/>
        <w:rPr>
          <w:rFonts w:ascii="Verdana" w:hAnsi="Verdana" w:cs="Arial"/>
          <w:noProof/>
        </w:rPr>
      </w:pPr>
      <w:r>
        <w:rPr>
          <w:rFonts w:ascii="Verdana" w:hAnsi="Verdana" w:cs="Arial"/>
          <w:noProof/>
        </w:rPr>
        <w:t>City University of Seattle (CityU)</w:t>
      </w:r>
    </w:p>
    <w:p w14:paraId="2F9EEF3F" w14:textId="7C35D35F" w:rsidR="00C8049E" w:rsidRDefault="00C93351" w:rsidP="00C93351">
      <w:pPr>
        <w:jc w:val="center"/>
        <w:rPr>
          <w:rFonts w:ascii="Verdana" w:hAnsi="Verdana" w:cs="Arial"/>
          <w:noProof/>
        </w:rPr>
      </w:pPr>
      <w:r>
        <w:rPr>
          <w:rFonts w:ascii="Verdana" w:hAnsi="Verdana" w:cs="Arial"/>
          <w:noProof/>
        </w:rPr>
        <w:t>singhparmbir@cityuniversity.edu, hubertomas@cityu.edu</w:t>
      </w:r>
    </w:p>
    <w:p w14:paraId="0030112D" w14:textId="77777777" w:rsidR="00992451" w:rsidRPr="00377C28" w:rsidRDefault="00992451" w:rsidP="00C8049E">
      <w:pPr>
        <w:jc w:val="center"/>
        <w:rPr>
          <w:rFonts w:ascii="Verdana" w:hAnsi="Verdana" w:cs="Arial"/>
        </w:rPr>
      </w:pPr>
    </w:p>
    <w:p w14:paraId="4F0F89FE" w14:textId="77777777" w:rsidR="00992451" w:rsidRPr="00500B66" w:rsidRDefault="00377C28" w:rsidP="00992451">
      <w:pPr>
        <w:jc w:val="center"/>
        <w:rPr>
          <w:rFonts w:ascii="Verdana" w:hAnsi="Verdana" w:cs="Arial"/>
          <w:b/>
        </w:rPr>
      </w:pPr>
      <w:r w:rsidRPr="00500B66">
        <w:rPr>
          <w:rFonts w:ascii="Verdana" w:hAnsi="Verdana" w:cs="Arial"/>
          <w:b/>
        </w:rPr>
        <w:t>Abstract</w:t>
      </w:r>
    </w:p>
    <w:p w14:paraId="4F501853" w14:textId="1D0F6A50" w:rsidR="00C8049E" w:rsidRDefault="00C93351" w:rsidP="00C8049E">
      <w:pPr>
        <w:jc w:val="both"/>
        <w:rPr>
          <w:rFonts w:ascii="Verdana" w:hAnsi="Verdana"/>
          <w:sz w:val="18"/>
          <w:szCs w:val="18"/>
        </w:rPr>
      </w:pPr>
      <w:r w:rsidRPr="00C93351">
        <w:rPr>
          <w:rFonts w:ascii="Verdana" w:hAnsi="Verdana"/>
          <w:sz w:val="18"/>
          <w:szCs w:val="18"/>
        </w:rPr>
        <w:t>Aerospace manufacturing operates within highly complex and globally distributed supply networks that depend on synchronized component deliveries. However, many aerospace organizations continue to rely on reactive planning models based on historical averages and limited supplier visibility. This approach has contributed to persistent lead-time volatility, production delays, and financial exposure. Government reports, academic research, and industry analyses indicate that supplier constraints, multi-tier risk propagation, and geopolitical instability amplify disruption across aerospace production systems. This capstone proposes the development of a predictive analytics framework designed to forecast potential supply chain disruptions using structured supplier and logistics data. By integrating machine learning–based forecasting models with risk scoring mechanisms, the system aims to support proactive decision-making and improve supply chain resilience. The expected outcome is a technically feasible framework that shifts aerospace supply chain management from reactive disruption response to predictive risk mitigation.</w:t>
      </w:r>
    </w:p>
    <w:p w14:paraId="0BEC54CD" w14:textId="77777777" w:rsidR="00C93351" w:rsidRPr="00377C28" w:rsidRDefault="00C93351" w:rsidP="00C8049E">
      <w:pPr>
        <w:jc w:val="both"/>
        <w:rPr>
          <w:rFonts w:ascii="Verdana" w:hAnsi="Verdana" w:cs="Arial"/>
          <w:sz w:val="18"/>
          <w:szCs w:val="18"/>
        </w:rPr>
      </w:pPr>
    </w:p>
    <w:p w14:paraId="1283D53B" w14:textId="37FE8046" w:rsidR="00C93351" w:rsidRPr="00017563" w:rsidRDefault="00C93351" w:rsidP="00C93351">
      <w:pPr>
        <w:jc w:val="both"/>
        <w:rPr>
          <w:rFonts w:ascii="Verdana" w:hAnsi="Verdana" w:cs="Arial"/>
          <w:sz w:val="18"/>
          <w:szCs w:val="18"/>
        </w:rPr>
      </w:pPr>
      <w:r w:rsidRPr="00017563">
        <w:rPr>
          <w:rFonts w:ascii="Verdana" w:hAnsi="Verdana" w:cs="Arial"/>
          <w:b/>
          <w:bCs/>
          <w:sz w:val="18"/>
          <w:szCs w:val="18"/>
        </w:rPr>
        <w:t>Keywords:</w:t>
      </w:r>
      <w:r w:rsidRPr="00017563">
        <w:rPr>
          <w:rFonts w:ascii="Verdana" w:hAnsi="Verdana" w:cs="Arial"/>
          <w:sz w:val="18"/>
          <w:szCs w:val="18"/>
        </w:rPr>
        <w:t xml:space="preserve"> Supply Chain Risk Management, Predictive Analytics, Aerospace Manufacturing, Lead-Time Volatility, Machine Learning, Data Analytics</w:t>
      </w:r>
      <w:r>
        <w:rPr>
          <w:rFonts w:ascii="Verdana" w:hAnsi="Verdana" w:cs="Arial"/>
          <w:sz w:val="18"/>
          <w:szCs w:val="18"/>
        </w:rPr>
        <w:t>, Supply Chain Resilience, Geopolitical Disruption</w:t>
      </w:r>
    </w:p>
    <w:p w14:paraId="6697F533" w14:textId="77777777" w:rsidR="00C93351" w:rsidRPr="00017563" w:rsidRDefault="00C93351" w:rsidP="00C93351">
      <w:pPr>
        <w:jc w:val="both"/>
        <w:rPr>
          <w:rFonts w:ascii="Verdana" w:hAnsi="Verdana"/>
          <w:sz w:val="18"/>
          <w:szCs w:val="18"/>
          <w:highlight w:val="yellow"/>
        </w:rPr>
      </w:pPr>
      <w:r w:rsidRPr="00017563">
        <w:rPr>
          <w:rFonts w:ascii="Verdana" w:hAnsi="Verdana" w:cs="Arial"/>
          <w:b/>
          <w:bCs/>
          <w:sz w:val="18"/>
          <w:szCs w:val="18"/>
        </w:rPr>
        <w:t>GitHub:</w:t>
      </w:r>
      <w:r w:rsidRPr="00017563">
        <w:rPr>
          <w:rFonts w:ascii="Verdana" w:hAnsi="Verdana" w:cs="Arial"/>
          <w:sz w:val="18"/>
          <w:szCs w:val="18"/>
        </w:rPr>
        <w:t xml:space="preserve"> </w:t>
      </w:r>
      <w:hyperlink r:id="rId7" w:history="1">
        <w:r w:rsidRPr="00017563">
          <w:rPr>
            <w:rStyle w:val="Hyperlink"/>
            <w:rFonts w:ascii="Verdana" w:hAnsi="Verdana"/>
            <w:sz w:val="18"/>
            <w:szCs w:val="18"/>
          </w:rPr>
          <w:t>https://github.com/AkQuik559/Winter-2025-CS-497-Capstone-Project-Proposal-Enhancing-Aerospace-Supply-Chain-Resilience.git</w:t>
        </w:r>
      </w:hyperlink>
      <w:r w:rsidRPr="00017563">
        <w:rPr>
          <w:rFonts w:ascii="Verdana" w:hAnsi="Verdana"/>
          <w:sz w:val="18"/>
          <w:szCs w:val="18"/>
        </w:rPr>
        <w:t xml:space="preserve"> (No Commits Yet)</w:t>
      </w:r>
    </w:p>
    <w:p w14:paraId="03016864" w14:textId="77777777" w:rsidR="00C8049E" w:rsidRPr="00377C28" w:rsidRDefault="00C8049E" w:rsidP="00C8049E">
      <w:pPr>
        <w:jc w:val="both"/>
        <w:rPr>
          <w:rFonts w:ascii="Verdana" w:hAnsi="Verdana" w:cs="Arial"/>
          <w:sz w:val="18"/>
          <w:szCs w:val="18"/>
        </w:rPr>
      </w:pPr>
    </w:p>
    <w:p w14:paraId="680E7148" w14:textId="77777777" w:rsidR="00C8049E" w:rsidRPr="00377C28" w:rsidRDefault="00C8049E" w:rsidP="00C8049E">
      <w:pPr>
        <w:jc w:val="both"/>
        <w:rPr>
          <w:rFonts w:ascii="Verdana" w:hAnsi="Verdana" w:cs="Arial"/>
          <w:sz w:val="18"/>
          <w:szCs w:val="18"/>
        </w:rPr>
      </w:pPr>
    </w:p>
    <w:p w14:paraId="37F81449" w14:textId="77777777" w:rsidR="00C8049E" w:rsidRPr="00377C28" w:rsidRDefault="00C8049E" w:rsidP="00C8049E">
      <w:pPr>
        <w:spacing w:before="100" w:beforeAutospacing="1" w:after="100" w:afterAutospacing="1"/>
        <w:rPr>
          <w:rFonts w:ascii="Verdana" w:hAnsi="Verdana"/>
          <w:sz w:val="18"/>
          <w:szCs w:val="18"/>
        </w:rPr>
        <w:sectPr w:rsidR="00C8049E" w:rsidRPr="00377C28" w:rsidSect="003F21D1">
          <w:footerReference w:type="default" r:id="rId8"/>
          <w:pgSz w:w="12240" w:h="15840" w:code="1"/>
          <w:pgMar w:top="1440" w:right="1440" w:bottom="1440" w:left="1440" w:header="720" w:footer="720" w:gutter="0"/>
          <w:cols w:space="720"/>
          <w:docGrid w:linePitch="360"/>
        </w:sectPr>
      </w:pPr>
    </w:p>
    <w:p w14:paraId="432EFF86" w14:textId="77777777" w:rsidR="00D86A4D" w:rsidRPr="00377C28" w:rsidRDefault="00D86A4D" w:rsidP="00D86A4D">
      <w:pPr>
        <w:spacing w:before="240"/>
        <w:jc w:val="center"/>
        <w:rPr>
          <w:rFonts w:ascii="Verdana" w:hAnsi="Verdana" w:cs="Arial"/>
          <w:sz w:val="18"/>
          <w:szCs w:val="18"/>
        </w:rPr>
      </w:pPr>
      <w:r w:rsidRPr="00377C28">
        <w:rPr>
          <w:rFonts w:ascii="Verdana" w:hAnsi="Verdana" w:cs="Arial"/>
          <w:b/>
          <w:bCs/>
          <w:sz w:val="18"/>
          <w:szCs w:val="18"/>
        </w:rPr>
        <w:t>1.</w:t>
      </w:r>
      <w:r w:rsidRPr="00377C28">
        <w:rPr>
          <w:rFonts w:ascii="Verdana" w:hAnsi="Verdana"/>
          <w:sz w:val="18"/>
          <w:szCs w:val="18"/>
        </w:rPr>
        <w:t xml:space="preserve"> </w:t>
      </w:r>
      <w:r w:rsidRPr="00377C28">
        <w:rPr>
          <w:rFonts w:ascii="Verdana" w:hAnsi="Verdana" w:cs="Arial"/>
          <w:b/>
          <w:bCs/>
          <w:sz w:val="18"/>
          <w:szCs w:val="18"/>
        </w:rPr>
        <w:t>INTRODUCTION</w:t>
      </w:r>
    </w:p>
    <w:p w14:paraId="44F3A20F" w14:textId="77777777" w:rsidR="00C93351" w:rsidRPr="00484A39" w:rsidRDefault="00C93351" w:rsidP="00C93351">
      <w:pPr>
        <w:jc w:val="both"/>
        <w:rPr>
          <w:rFonts w:ascii="Verdana" w:hAnsi="Verdana"/>
          <w:sz w:val="18"/>
          <w:szCs w:val="18"/>
        </w:rPr>
      </w:pPr>
      <w:r w:rsidRPr="00484A39">
        <w:rPr>
          <w:rFonts w:ascii="Verdana" w:hAnsi="Verdana"/>
          <w:sz w:val="18"/>
          <w:szCs w:val="18"/>
        </w:rPr>
        <w:t xml:space="preserve">The aerospace industry depends on a tightly connected global supply network, where even small delays in specialized components can disrupt production. Companies like Boeing rely on multiple tiers of suppliers, which makes their assembly lines especially sensitive to supply chain interruptions. This project examines how Data Analytics and Machine Learning can shift supply chain management from a reactive approach to a proactive, </w:t>
      </w:r>
      <w:r>
        <w:rPr>
          <w:rFonts w:ascii="Verdana" w:hAnsi="Verdana"/>
          <w:sz w:val="18"/>
          <w:szCs w:val="18"/>
        </w:rPr>
        <w:t>resilience-focused</w:t>
      </w:r>
      <w:r w:rsidRPr="00484A39">
        <w:rPr>
          <w:rFonts w:ascii="Verdana" w:hAnsi="Verdana"/>
          <w:sz w:val="18"/>
          <w:szCs w:val="18"/>
        </w:rPr>
        <w:t xml:space="preserve"> strategy. By using predictive models to anticipate fluctuations in lead times, the research aims to help </w:t>
      </w:r>
      <w:r w:rsidRPr="00484A39">
        <w:rPr>
          <w:rFonts w:ascii="Verdana" w:hAnsi="Verdana"/>
          <w:sz w:val="18"/>
          <w:szCs w:val="18"/>
        </w:rPr>
        <w:t>organizations identify risks early and prevent delays before they impact production.</w:t>
      </w:r>
    </w:p>
    <w:p w14:paraId="0B8ED8C3" w14:textId="77777777" w:rsidR="00D86A4D" w:rsidRPr="00377C28" w:rsidRDefault="00D86A4D" w:rsidP="00D86A4D">
      <w:pPr>
        <w:jc w:val="both"/>
        <w:rPr>
          <w:rFonts w:ascii="Verdana" w:hAnsi="Verdana"/>
          <w:b/>
          <w:sz w:val="18"/>
          <w:szCs w:val="18"/>
        </w:rPr>
      </w:pPr>
    </w:p>
    <w:p w14:paraId="021E5B54" w14:textId="77777777" w:rsidR="00D86A4D" w:rsidRPr="00377C28" w:rsidRDefault="00D86A4D" w:rsidP="00D86A4D">
      <w:pPr>
        <w:jc w:val="both"/>
        <w:rPr>
          <w:rFonts w:ascii="Verdana" w:hAnsi="Verdana"/>
          <w:b/>
          <w:sz w:val="18"/>
          <w:szCs w:val="18"/>
        </w:rPr>
      </w:pPr>
      <w:r w:rsidRPr="00377C28">
        <w:rPr>
          <w:rFonts w:ascii="Verdana" w:hAnsi="Verdana"/>
          <w:b/>
          <w:sz w:val="18"/>
          <w:szCs w:val="18"/>
        </w:rPr>
        <w:t>Problem Statement</w:t>
      </w:r>
    </w:p>
    <w:p w14:paraId="2C2E7A99" w14:textId="631BE525" w:rsidR="00D86A4D" w:rsidRDefault="00C93351" w:rsidP="00D86A4D">
      <w:pPr>
        <w:jc w:val="both"/>
        <w:rPr>
          <w:rFonts w:ascii="Verdana" w:hAnsi="Verdana"/>
          <w:sz w:val="18"/>
          <w:szCs w:val="18"/>
        </w:rPr>
      </w:pPr>
      <w:r w:rsidRPr="00C93351">
        <w:rPr>
          <w:rFonts w:ascii="Verdana" w:hAnsi="Verdana"/>
          <w:sz w:val="18"/>
          <w:szCs w:val="18"/>
        </w:rPr>
        <w:t xml:space="preserve">Aerospace supply chains rely on globally distributed supplier networks that must deliver highly specialized components on tightly coordinated schedules. Despite the complexity of these systems, many aerospace manufacturers continue to depend on reactive planning models and historical delivery averages. Limited multi-tier supplier visibility and insufficient risk modeling have contributed to recurring lead-time volatility, supplier bottlenecks, and production </w:t>
      </w:r>
      <w:r w:rsidRPr="00C93351">
        <w:rPr>
          <w:rFonts w:ascii="Verdana" w:hAnsi="Verdana"/>
          <w:sz w:val="18"/>
          <w:szCs w:val="18"/>
        </w:rPr>
        <w:lastRenderedPageBreak/>
        <w:t>delays. As global volatility increases, traditional reactive supply chain strategies have proven inadequate for mitigating disruption risk.</w:t>
      </w:r>
    </w:p>
    <w:p w14:paraId="181F5519" w14:textId="77777777" w:rsidR="00C93351" w:rsidRPr="00377C28" w:rsidRDefault="00C93351" w:rsidP="00D86A4D">
      <w:pPr>
        <w:jc w:val="both"/>
        <w:rPr>
          <w:rFonts w:ascii="Verdana" w:hAnsi="Verdana"/>
          <w:b/>
          <w:bCs/>
          <w:sz w:val="18"/>
          <w:szCs w:val="18"/>
        </w:rPr>
      </w:pPr>
    </w:p>
    <w:p w14:paraId="0E21F7DB" w14:textId="77777777" w:rsidR="00D86A4D" w:rsidRPr="00377C28" w:rsidRDefault="00D86A4D" w:rsidP="00D86A4D">
      <w:pPr>
        <w:jc w:val="both"/>
        <w:rPr>
          <w:rFonts w:ascii="Verdana" w:hAnsi="Verdana"/>
          <w:b/>
          <w:bCs/>
          <w:sz w:val="18"/>
          <w:szCs w:val="18"/>
        </w:rPr>
      </w:pPr>
      <w:r w:rsidRPr="00377C28">
        <w:rPr>
          <w:rFonts w:ascii="Verdana" w:hAnsi="Verdana"/>
          <w:b/>
          <w:bCs/>
          <w:sz w:val="18"/>
          <w:szCs w:val="18"/>
        </w:rPr>
        <w:t>Motivation</w:t>
      </w:r>
    </w:p>
    <w:p w14:paraId="33B9EFA8" w14:textId="7A3D4E7D" w:rsidR="00D86A4D" w:rsidRDefault="00C93351" w:rsidP="00D86A4D">
      <w:pPr>
        <w:jc w:val="both"/>
        <w:rPr>
          <w:rFonts w:ascii="Verdana" w:hAnsi="Verdana"/>
          <w:sz w:val="18"/>
          <w:szCs w:val="18"/>
        </w:rPr>
      </w:pPr>
      <w:r w:rsidRPr="00C93351">
        <w:rPr>
          <w:rFonts w:ascii="Verdana" w:hAnsi="Verdana"/>
          <w:sz w:val="18"/>
          <w:szCs w:val="18"/>
        </w:rPr>
        <w:t>Supply chain instability in aerospace manufacturing produces measurable operational and financial consequences. Production slowdowns, capacity underutilization, and delayed aircraft deliveries expose manufacturers to revenue loss and reputational risk. Academic and industry research further demonstrates that supplier disruptions propagate across interconnected networks and are increasingly influenced by geopolitical instability. These findings highlight the need for proactive, analytics-driven risk detection mechanisms capable of identifying volatility before it impacts assembly operations.</w:t>
      </w:r>
    </w:p>
    <w:p w14:paraId="14E22422" w14:textId="77777777" w:rsidR="00C93351" w:rsidRPr="00377C28" w:rsidRDefault="00C93351" w:rsidP="00D86A4D">
      <w:pPr>
        <w:jc w:val="both"/>
        <w:rPr>
          <w:rFonts w:ascii="Verdana" w:hAnsi="Verdana"/>
          <w:b/>
          <w:sz w:val="18"/>
          <w:szCs w:val="18"/>
        </w:rPr>
      </w:pPr>
    </w:p>
    <w:p w14:paraId="7F2BBFDE" w14:textId="77777777" w:rsidR="00D86A4D" w:rsidRPr="00377C28" w:rsidRDefault="00D86A4D" w:rsidP="00D86A4D">
      <w:pPr>
        <w:jc w:val="both"/>
        <w:rPr>
          <w:rFonts w:ascii="Verdana" w:hAnsi="Verdana"/>
          <w:b/>
          <w:sz w:val="18"/>
          <w:szCs w:val="18"/>
        </w:rPr>
      </w:pPr>
      <w:r w:rsidRPr="00377C28">
        <w:rPr>
          <w:rFonts w:ascii="Verdana" w:hAnsi="Verdana"/>
          <w:b/>
          <w:sz w:val="18"/>
          <w:szCs w:val="18"/>
        </w:rPr>
        <w:t>Approach</w:t>
      </w:r>
    </w:p>
    <w:p w14:paraId="7E0BB7FA" w14:textId="66278DC6" w:rsidR="00D86A4D" w:rsidRDefault="00C93351" w:rsidP="00D86A4D">
      <w:pPr>
        <w:jc w:val="both"/>
        <w:rPr>
          <w:rFonts w:ascii="Verdana" w:hAnsi="Verdana"/>
          <w:sz w:val="18"/>
          <w:szCs w:val="18"/>
        </w:rPr>
      </w:pPr>
      <w:r w:rsidRPr="00C93351">
        <w:rPr>
          <w:rFonts w:ascii="Verdana" w:hAnsi="Verdana"/>
          <w:sz w:val="18"/>
          <w:szCs w:val="18"/>
        </w:rPr>
        <w:t>This capstone proposes a predictive analytics framework designed to forecast supply chain disruptions through structured analysis of supplier performance, lead-time variability, and logistics data. By applying machine learning–based forecasting techniques and structured risk scoring models, the system aims to transition aerospace supply chain management from reactive response to proactive mitigation.</w:t>
      </w:r>
    </w:p>
    <w:p w14:paraId="30223FFB" w14:textId="77777777" w:rsidR="00C93351" w:rsidRDefault="00C93351" w:rsidP="00D86A4D">
      <w:pPr>
        <w:jc w:val="both"/>
        <w:rPr>
          <w:rFonts w:ascii="Verdana" w:hAnsi="Verdana"/>
          <w:sz w:val="18"/>
          <w:szCs w:val="18"/>
        </w:rPr>
      </w:pPr>
    </w:p>
    <w:p w14:paraId="229DDE78" w14:textId="77777777" w:rsidR="00D86A4D" w:rsidRPr="0028140A" w:rsidRDefault="00D86A4D" w:rsidP="00D86A4D">
      <w:pPr>
        <w:jc w:val="both"/>
        <w:rPr>
          <w:rFonts w:ascii="Verdana" w:hAnsi="Verdana" w:cs="Arial"/>
          <w:b/>
          <w:bCs/>
          <w:sz w:val="18"/>
          <w:szCs w:val="18"/>
        </w:rPr>
      </w:pPr>
      <w:bookmarkStart w:id="0" w:name="_Toc504383617"/>
      <w:r w:rsidRPr="0028140A">
        <w:rPr>
          <w:rFonts w:ascii="Verdana" w:hAnsi="Verdana" w:cs="Arial"/>
          <w:b/>
          <w:bCs/>
          <w:sz w:val="18"/>
          <w:szCs w:val="18"/>
        </w:rPr>
        <w:t>Conclusions</w:t>
      </w:r>
      <w:bookmarkEnd w:id="0"/>
    </w:p>
    <w:p w14:paraId="1D6C63C2" w14:textId="1E8169D8" w:rsidR="00D86A4D" w:rsidRDefault="00C93351" w:rsidP="00D86A4D">
      <w:pPr>
        <w:pStyle w:val="BodyText"/>
        <w:rPr>
          <w:rFonts w:ascii="Verdana" w:hAnsi="Verdana"/>
        </w:rPr>
      </w:pPr>
      <w:r w:rsidRPr="00C93351">
        <w:rPr>
          <w:rFonts w:ascii="Verdana" w:hAnsi="Verdana"/>
        </w:rPr>
        <w:t>The literature indicates a clear structural gap between legacy reactive supply chain practices and the need for predictive, data-driven risk management. The proposed approach seeks to bridge this gap by demonstrating how machine learning forecasting and structured risk modeling can enhance aerospace supply chain resilience and support more informed operational decision-making.</w:t>
      </w:r>
    </w:p>
    <w:p w14:paraId="623BCBDC" w14:textId="77777777" w:rsidR="00D86A4D" w:rsidRDefault="00D86A4D" w:rsidP="00D86A4D">
      <w:pPr>
        <w:spacing w:before="240"/>
        <w:jc w:val="center"/>
        <w:rPr>
          <w:rFonts w:ascii="Verdana" w:hAnsi="Verdana" w:cs="Arial"/>
          <w:b/>
          <w:bCs/>
          <w:sz w:val="18"/>
          <w:szCs w:val="18"/>
        </w:rPr>
      </w:pPr>
      <w:r>
        <w:rPr>
          <w:rFonts w:ascii="Verdana" w:hAnsi="Verdana" w:cs="Arial"/>
          <w:b/>
          <w:bCs/>
          <w:sz w:val="18"/>
          <w:szCs w:val="18"/>
        </w:rPr>
        <w:t>2. BACKGROUND</w:t>
      </w:r>
    </w:p>
    <w:p w14:paraId="66B2CD06" w14:textId="77777777" w:rsidR="00C93351" w:rsidRPr="00C93351" w:rsidRDefault="00C93351" w:rsidP="00C93351">
      <w:pPr>
        <w:jc w:val="both"/>
        <w:rPr>
          <w:rFonts w:ascii="Verdana" w:hAnsi="Verdana" w:cs="Arial"/>
          <w:bCs/>
          <w:sz w:val="18"/>
          <w:szCs w:val="18"/>
        </w:rPr>
      </w:pPr>
      <w:r w:rsidRPr="00C93351">
        <w:rPr>
          <w:rFonts w:ascii="Verdana" w:hAnsi="Verdana" w:cs="Arial"/>
          <w:bCs/>
          <w:sz w:val="18"/>
          <w:szCs w:val="18"/>
        </w:rPr>
        <w:t>The aerospace supply chain is among the most complex manufacturing ecosystems globally. Aircraft production depends on thousands of precision-engineered components sourced from multi-tier supplier networks distributed across international regions. Even minor delivery delays can disrupt tightly synchronized assembly schedules.</w:t>
      </w:r>
    </w:p>
    <w:p w14:paraId="747056D6" w14:textId="77777777" w:rsidR="00C93351" w:rsidRPr="00C93351" w:rsidRDefault="00C93351" w:rsidP="00C93351">
      <w:pPr>
        <w:jc w:val="both"/>
        <w:rPr>
          <w:rFonts w:ascii="Verdana" w:hAnsi="Verdana" w:cs="Arial"/>
          <w:bCs/>
          <w:sz w:val="18"/>
          <w:szCs w:val="18"/>
        </w:rPr>
      </w:pPr>
      <w:r w:rsidRPr="00C93351">
        <w:rPr>
          <w:rFonts w:ascii="Verdana" w:hAnsi="Verdana" w:cs="Arial"/>
          <w:bCs/>
          <w:sz w:val="18"/>
          <w:szCs w:val="18"/>
        </w:rPr>
        <w:t xml:space="preserve">Lead-time volatility refers to unpredictable variation in supplier delivery times. In aerospace systems, this volatility may result from supplier capacity constraints, labor shortages, transportation bottlenecks, regulatory delays, or geopolitical disruptions. Due to interconnected supplier dependencies, disruptions can propagate </w:t>
      </w:r>
      <w:r w:rsidRPr="00C93351">
        <w:rPr>
          <w:rFonts w:ascii="Verdana" w:hAnsi="Verdana" w:cs="Arial"/>
          <w:bCs/>
          <w:sz w:val="18"/>
          <w:szCs w:val="18"/>
        </w:rPr>
        <w:t>through multiple tiers, amplifying instability across production operations.</w:t>
      </w:r>
    </w:p>
    <w:p w14:paraId="14C05305" w14:textId="77777777" w:rsidR="00C93351" w:rsidRPr="00C93351" w:rsidRDefault="00C93351" w:rsidP="00C93351">
      <w:pPr>
        <w:jc w:val="both"/>
        <w:rPr>
          <w:rFonts w:ascii="Verdana" w:hAnsi="Verdana" w:cs="Arial"/>
          <w:bCs/>
          <w:sz w:val="18"/>
          <w:szCs w:val="18"/>
        </w:rPr>
      </w:pPr>
      <w:r w:rsidRPr="00C93351">
        <w:rPr>
          <w:rFonts w:ascii="Verdana" w:hAnsi="Verdana" w:cs="Arial"/>
          <w:bCs/>
          <w:sz w:val="18"/>
          <w:szCs w:val="18"/>
        </w:rPr>
        <w:t>Traditional aerospace supply chain management has relied heavily on historical averages and reactive coordination strategies. While effective in stable environments, these methods struggle to address dynamic global volatility. Emerging research suggests that predictive analytics and machine learning techniques offer the capability to identify disruption risk patterns before they impact production timelines.</w:t>
      </w:r>
    </w:p>
    <w:p w14:paraId="7BA72854" w14:textId="77777777" w:rsidR="00D86A4D" w:rsidRPr="00CC180D" w:rsidRDefault="00D86A4D" w:rsidP="00D86A4D">
      <w:pPr>
        <w:spacing w:before="240"/>
        <w:jc w:val="center"/>
        <w:rPr>
          <w:rFonts w:ascii="Verdana" w:hAnsi="Verdana" w:cs="Arial"/>
          <w:b/>
          <w:bCs/>
          <w:sz w:val="18"/>
          <w:szCs w:val="18"/>
        </w:rPr>
      </w:pPr>
      <w:r>
        <w:rPr>
          <w:rFonts w:ascii="Verdana" w:hAnsi="Verdana" w:cs="Arial"/>
          <w:b/>
          <w:bCs/>
          <w:sz w:val="18"/>
          <w:szCs w:val="18"/>
        </w:rPr>
        <w:t xml:space="preserve">3. </w:t>
      </w:r>
      <w:r w:rsidRPr="00CC180D">
        <w:rPr>
          <w:rFonts w:ascii="Verdana" w:hAnsi="Verdana" w:cs="Arial"/>
          <w:b/>
          <w:bCs/>
          <w:sz w:val="18"/>
          <w:szCs w:val="18"/>
        </w:rPr>
        <w:t>RELATED WORK</w:t>
      </w:r>
    </w:p>
    <w:p w14:paraId="7C6F7F79" w14:textId="77777777" w:rsidR="00C93351" w:rsidRDefault="00C93351" w:rsidP="00C93351">
      <w:pPr>
        <w:jc w:val="both"/>
        <w:rPr>
          <w:rFonts w:ascii="Verdana" w:hAnsi="Verdana"/>
          <w:sz w:val="18"/>
          <w:szCs w:val="18"/>
        </w:rPr>
      </w:pPr>
      <w:r w:rsidRPr="00C93351">
        <w:rPr>
          <w:rFonts w:ascii="Verdana" w:hAnsi="Verdana"/>
          <w:sz w:val="18"/>
          <w:szCs w:val="18"/>
        </w:rPr>
        <w:t>Recent literature consistently describes aerospace supply chains as heavily reliant on reactive decision-making and historical averages. The U.S. Government Accountability Office (2024) identified structural issues including limited supplier visibility, component shortages, and delayed deliveries that directly impacted aviation manufacturing schedules.</w:t>
      </w:r>
    </w:p>
    <w:p w14:paraId="44D0CB28" w14:textId="77777777" w:rsidR="006E470E" w:rsidRPr="00C93351" w:rsidRDefault="006E470E" w:rsidP="00C93351">
      <w:pPr>
        <w:jc w:val="both"/>
        <w:rPr>
          <w:rFonts w:ascii="Verdana" w:hAnsi="Verdana"/>
          <w:sz w:val="18"/>
          <w:szCs w:val="18"/>
        </w:rPr>
      </w:pPr>
    </w:p>
    <w:p w14:paraId="5C7A39B2" w14:textId="77777777" w:rsidR="00C93351" w:rsidRDefault="00C93351" w:rsidP="00C93351">
      <w:pPr>
        <w:jc w:val="both"/>
        <w:rPr>
          <w:rFonts w:ascii="Verdana" w:hAnsi="Verdana"/>
          <w:sz w:val="18"/>
          <w:szCs w:val="18"/>
        </w:rPr>
      </w:pPr>
      <w:r w:rsidRPr="00C93351">
        <w:rPr>
          <w:rFonts w:ascii="Verdana" w:hAnsi="Verdana"/>
          <w:sz w:val="18"/>
          <w:szCs w:val="18"/>
        </w:rPr>
        <w:t>Peer-reviewed research further examined how legacy supply chain structures amplify instability. Mohammed and Mandal (2023) demonstrated that lead-time variability significantly disrupts inventory and production performance, reinforcing concerns about reliance on reactive mitigation strategies. Santos et al. (2025) expanded this discussion by modeling multi-tier supplier risk propagation, emphasizing that limited visibility beyond first-tier suppliers increases vulnerability to cascading disruption.</w:t>
      </w:r>
    </w:p>
    <w:p w14:paraId="629DA8FB" w14:textId="77777777" w:rsidR="006E470E" w:rsidRPr="00C93351" w:rsidRDefault="006E470E" w:rsidP="00C93351">
      <w:pPr>
        <w:jc w:val="both"/>
        <w:rPr>
          <w:rFonts w:ascii="Verdana" w:hAnsi="Verdana"/>
          <w:sz w:val="18"/>
          <w:szCs w:val="18"/>
        </w:rPr>
      </w:pPr>
    </w:p>
    <w:p w14:paraId="58043B80" w14:textId="77777777" w:rsidR="00C93351" w:rsidRDefault="00C93351" w:rsidP="00C93351">
      <w:pPr>
        <w:jc w:val="both"/>
        <w:rPr>
          <w:rFonts w:ascii="Verdana" w:hAnsi="Verdana"/>
          <w:sz w:val="18"/>
          <w:szCs w:val="18"/>
        </w:rPr>
      </w:pPr>
      <w:r w:rsidRPr="00C93351">
        <w:rPr>
          <w:rFonts w:ascii="Verdana" w:hAnsi="Verdana"/>
          <w:sz w:val="18"/>
          <w:szCs w:val="18"/>
        </w:rPr>
        <w:t xml:space="preserve">Industry reporting corroborates these findings. Hamilton (2025) documented supplier-related production slowdowns affecting Boeing and Airbus. Lampert (2024) and </w:t>
      </w:r>
      <w:proofErr w:type="spellStart"/>
      <w:r w:rsidRPr="00C93351">
        <w:rPr>
          <w:rFonts w:ascii="Verdana" w:hAnsi="Verdana"/>
          <w:sz w:val="18"/>
          <w:szCs w:val="18"/>
        </w:rPr>
        <w:t>Ganapavaram</w:t>
      </w:r>
      <w:proofErr w:type="spellEnd"/>
      <w:r w:rsidRPr="00C93351">
        <w:rPr>
          <w:rFonts w:ascii="Verdana" w:hAnsi="Verdana"/>
          <w:sz w:val="18"/>
          <w:szCs w:val="18"/>
        </w:rPr>
        <w:t xml:space="preserve"> (2024) reported continued production and delivery disruptions linked to supplier capacity limitations, illustrating real-world operational consequences.</w:t>
      </w:r>
    </w:p>
    <w:p w14:paraId="263F6AF2" w14:textId="77777777" w:rsidR="006E470E" w:rsidRPr="00C93351" w:rsidRDefault="006E470E" w:rsidP="00C93351">
      <w:pPr>
        <w:jc w:val="both"/>
        <w:rPr>
          <w:rFonts w:ascii="Verdana" w:hAnsi="Verdana"/>
          <w:sz w:val="18"/>
          <w:szCs w:val="18"/>
        </w:rPr>
      </w:pPr>
    </w:p>
    <w:p w14:paraId="356B9589" w14:textId="77777777" w:rsidR="00C93351" w:rsidRDefault="00C93351" w:rsidP="00C93351">
      <w:pPr>
        <w:jc w:val="both"/>
        <w:rPr>
          <w:rFonts w:ascii="Verdana" w:hAnsi="Verdana"/>
          <w:sz w:val="18"/>
          <w:szCs w:val="18"/>
        </w:rPr>
      </w:pPr>
      <w:r w:rsidRPr="00C93351">
        <w:rPr>
          <w:rFonts w:ascii="Verdana" w:hAnsi="Verdana"/>
          <w:sz w:val="18"/>
          <w:szCs w:val="18"/>
        </w:rPr>
        <w:t xml:space="preserve">Financial analyses highlight the economic implications of such disruptions. McKinsey &amp; Company (2021) estimated that global supply chain disruptions expose organizations to substantial revenue risk when reactive planning models are used. Aerospace-specific outlook reports by Deloitte (2023, 2025, 2026) further identified supplier bottlenecks and production backlogs as significant contributors to financial exposure </w:t>
      </w:r>
      <w:proofErr w:type="gramStart"/>
      <w:r w:rsidRPr="00C93351">
        <w:rPr>
          <w:rFonts w:ascii="Verdana" w:hAnsi="Verdana"/>
          <w:sz w:val="18"/>
          <w:szCs w:val="18"/>
        </w:rPr>
        <w:t>and delivery</w:t>
      </w:r>
      <w:proofErr w:type="gramEnd"/>
      <w:r w:rsidRPr="00C93351">
        <w:rPr>
          <w:rFonts w:ascii="Verdana" w:hAnsi="Verdana"/>
          <w:sz w:val="18"/>
          <w:szCs w:val="18"/>
        </w:rPr>
        <w:t xml:space="preserve"> instability.</w:t>
      </w:r>
    </w:p>
    <w:p w14:paraId="3410EFA9" w14:textId="77777777" w:rsidR="006E470E" w:rsidRPr="00C93351" w:rsidRDefault="006E470E" w:rsidP="00C93351">
      <w:pPr>
        <w:jc w:val="both"/>
        <w:rPr>
          <w:rFonts w:ascii="Verdana" w:hAnsi="Verdana"/>
          <w:sz w:val="18"/>
          <w:szCs w:val="18"/>
        </w:rPr>
      </w:pPr>
    </w:p>
    <w:p w14:paraId="7B548228" w14:textId="77777777" w:rsidR="00C93351" w:rsidRDefault="00C93351" w:rsidP="00C93351">
      <w:pPr>
        <w:jc w:val="both"/>
        <w:rPr>
          <w:rFonts w:ascii="Verdana" w:hAnsi="Verdana"/>
          <w:sz w:val="18"/>
          <w:szCs w:val="18"/>
        </w:rPr>
      </w:pPr>
      <w:r w:rsidRPr="00C93351">
        <w:rPr>
          <w:rFonts w:ascii="Verdana" w:hAnsi="Verdana"/>
          <w:sz w:val="18"/>
          <w:szCs w:val="18"/>
        </w:rPr>
        <w:t xml:space="preserve">Geopolitical volatility further compounds supply chain risk. Bednarski et al. (2025) identified trade tensions, sanctions, and regional instability as structural disruptors of global supply networks, particularly in internationally integrated industries such as </w:t>
      </w:r>
      <w:proofErr w:type="spellStart"/>
      <w:r w:rsidRPr="00C93351">
        <w:rPr>
          <w:rFonts w:ascii="Verdana" w:hAnsi="Verdana"/>
          <w:sz w:val="18"/>
          <w:szCs w:val="18"/>
        </w:rPr>
        <w:t>aerospace.</w:t>
      </w:r>
      <w:proofErr w:type="spellEnd"/>
    </w:p>
    <w:p w14:paraId="396B349C" w14:textId="77777777" w:rsidR="006E470E" w:rsidRPr="00C93351" w:rsidRDefault="006E470E" w:rsidP="00C93351">
      <w:pPr>
        <w:jc w:val="both"/>
        <w:rPr>
          <w:rFonts w:ascii="Verdana" w:hAnsi="Verdana"/>
          <w:sz w:val="18"/>
          <w:szCs w:val="18"/>
        </w:rPr>
      </w:pPr>
    </w:p>
    <w:p w14:paraId="74122D1E" w14:textId="77777777" w:rsidR="00C93351" w:rsidRPr="00C93351" w:rsidRDefault="00C93351" w:rsidP="00C93351">
      <w:pPr>
        <w:jc w:val="both"/>
        <w:rPr>
          <w:rFonts w:ascii="Verdana" w:hAnsi="Verdana"/>
          <w:sz w:val="18"/>
          <w:szCs w:val="18"/>
        </w:rPr>
      </w:pPr>
      <w:proofErr w:type="spellStart"/>
      <w:r w:rsidRPr="00C93351">
        <w:rPr>
          <w:rFonts w:ascii="Verdana" w:hAnsi="Verdana"/>
          <w:sz w:val="18"/>
          <w:szCs w:val="18"/>
        </w:rPr>
        <w:t>In</w:t>
      </w:r>
      <w:proofErr w:type="spellEnd"/>
      <w:r w:rsidRPr="00C93351">
        <w:rPr>
          <w:rFonts w:ascii="Verdana" w:hAnsi="Verdana"/>
          <w:sz w:val="18"/>
          <w:szCs w:val="18"/>
        </w:rPr>
        <w:t xml:space="preserve"> contrast, professional and academic sources describe emerging predictive solutions. Trax Technologies (2025) and </w:t>
      </w:r>
      <w:proofErr w:type="spellStart"/>
      <w:r w:rsidRPr="00C93351">
        <w:rPr>
          <w:rFonts w:ascii="Verdana" w:hAnsi="Verdana"/>
          <w:sz w:val="18"/>
          <w:szCs w:val="18"/>
        </w:rPr>
        <w:t>Lagut</w:t>
      </w:r>
      <w:proofErr w:type="spellEnd"/>
      <w:r w:rsidRPr="00C93351">
        <w:rPr>
          <w:rFonts w:ascii="Verdana" w:hAnsi="Verdana"/>
          <w:sz w:val="18"/>
          <w:szCs w:val="18"/>
        </w:rPr>
        <w:t xml:space="preserve"> et al. (2025) discussed the integration of digital supply chains and predictive tools to dynamically adjust production planning. Complementing these perspectives, </w:t>
      </w:r>
      <w:proofErr w:type="spellStart"/>
      <w:r w:rsidRPr="00C93351">
        <w:rPr>
          <w:rFonts w:ascii="Verdana" w:hAnsi="Verdana"/>
          <w:sz w:val="18"/>
          <w:szCs w:val="18"/>
        </w:rPr>
        <w:t>Douaioui</w:t>
      </w:r>
      <w:proofErr w:type="spellEnd"/>
      <w:r w:rsidRPr="00C93351">
        <w:rPr>
          <w:rFonts w:ascii="Verdana" w:hAnsi="Verdana"/>
          <w:sz w:val="18"/>
          <w:szCs w:val="18"/>
        </w:rPr>
        <w:t xml:space="preserve"> et al. (2024) provided peer-reviewed validation that machine learning forecasting models outperform traditional statistical approaches in capturing nonlinear variability, strengthening the technical foundation for predictive analytics–based risk mitigation.</w:t>
      </w:r>
    </w:p>
    <w:p w14:paraId="5B227F8A" w14:textId="77777777" w:rsidR="006E470E" w:rsidRDefault="006E470E" w:rsidP="00C93351">
      <w:pPr>
        <w:jc w:val="both"/>
        <w:rPr>
          <w:rFonts w:ascii="Verdana" w:hAnsi="Verdana"/>
          <w:sz w:val="18"/>
          <w:szCs w:val="18"/>
        </w:rPr>
      </w:pPr>
    </w:p>
    <w:p w14:paraId="7859CA03" w14:textId="60CE0855" w:rsidR="00C93351" w:rsidRPr="00C93351" w:rsidRDefault="00C93351" w:rsidP="00C93351">
      <w:pPr>
        <w:jc w:val="both"/>
        <w:rPr>
          <w:rFonts w:ascii="Verdana" w:hAnsi="Verdana"/>
          <w:sz w:val="18"/>
          <w:szCs w:val="18"/>
        </w:rPr>
      </w:pPr>
      <w:r w:rsidRPr="00C93351">
        <w:rPr>
          <w:rFonts w:ascii="Verdana" w:hAnsi="Verdana"/>
          <w:sz w:val="18"/>
          <w:szCs w:val="18"/>
        </w:rPr>
        <w:t>Collectively, the literature reveals a systemic gap between legacy reactive supply chain management and the need for predictive, analytics-driven resilience strategies.</w:t>
      </w:r>
    </w:p>
    <w:p w14:paraId="15141AE3" w14:textId="77777777" w:rsidR="00D86A4D" w:rsidRPr="00AF369E" w:rsidRDefault="00D86A4D" w:rsidP="00D86A4D">
      <w:pPr>
        <w:spacing w:before="240"/>
        <w:jc w:val="center"/>
        <w:rPr>
          <w:rFonts w:ascii="Verdana" w:hAnsi="Verdana" w:cs="Arial"/>
          <w:sz w:val="18"/>
          <w:szCs w:val="18"/>
        </w:rPr>
      </w:pPr>
      <w:r>
        <w:rPr>
          <w:rFonts w:ascii="Verdana" w:hAnsi="Verdana" w:cs="Arial"/>
          <w:b/>
          <w:bCs/>
          <w:sz w:val="18"/>
          <w:szCs w:val="18"/>
        </w:rPr>
        <w:t>4</w:t>
      </w:r>
      <w:r w:rsidRPr="00AF369E">
        <w:rPr>
          <w:rFonts w:ascii="Verdana" w:hAnsi="Verdana" w:cs="Arial"/>
          <w:b/>
          <w:bCs/>
          <w:sz w:val="18"/>
          <w:szCs w:val="18"/>
        </w:rPr>
        <w:t>.</w:t>
      </w:r>
      <w:r w:rsidRPr="00AF369E">
        <w:rPr>
          <w:rFonts w:ascii="Verdana" w:hAnsi="Verdana"/>
          <w:sz w:val="18"/>
          <w:szCs w:val="18"/>
        </w:rPr>
        <w:t xml:space="preserve"> </w:t>
      </w:r>
      <w:r>
        <w:rPr>
          <w:rFonts w:ascii="Verdana" w:hAnsi="Verdana"/>
          <w:b/>
          <w:bCs/>
          <w:sz w:val="18"/>
          <w:szCs w:val="18"/>
        </w:rPr>
        <w:t>APPROACH</w:t>
      </w:r>
    </w:p>
    <w:p w14:paraId="419E6BE6" w14:textId="77777777" w:rsidR="002B64EC" w:rsidRPr="002B64EC" w:rsidRDefault="002B64EC" w:rsidP="002B64EC">
      <w:pPr>
        <w:jc w:val="both"/>
        <w:rPr>
          <w:rFonts w:ascii="Verdana" w:hAnsi="Verdana"/>
          <w:b/>
          <w:bCs/>
          <w:sz w:val="18"/>
          <w:szCs w:val="18"/>
        </w:rPr>
      </w:pPr>
      <w:r w:rsidRPr="002B64EC">
        <w:rPr>
          <w:rFonts w:ascii="Verdana" w:hAnsi="Verdana"/>
          <w:b/>
          <w:bCs/>
          <w:sz w:val="18"/>
          <w:szCs w:val="18"/>
        </w:rPr>
        <w:t>User Requirements</w:t>
      </w:r>
    </w:p>
    <w:p w14:paraId="759E2D18" w14:textId="77777777" w:rsidR="002B64EC" w:rsidRPr="002B64EC" w:rsidRDefault="002B64EC" w:rsidP="002B64EC">
      <w:pPr>
        <w:jc w:val="both"/>
        <w:rPr>
          <w:rFonts w:ascii="Verdana" w:hAnsi="Verdana"/>
          <w:sz w:val="18"/>
          <w:szCs w:val="18"/>
        </w:rPr>
      </w:pPr>
      <w:r w:rsidRPr="002B64EC">
        <w:rPr>
          <w:rFonts w:ascii="Verdana" w:hAnsi="Verdana"/>
          <w:sz w:val="18"/>
          <w:szCs w:val="18"/>
        </w:rPr>
        <w:t>The proposed system is designed to support proactive identification of supply chain disruption risks within aerospace manufacturing operations. Based on insights from the literature review, the system must:</w:t>
      </w:r>
    </w:p>
    <w:p w14:paraId="5034EA0E" w14:textId="77777777" w:rsidR="002B64EC" w:rsidRPr="002B64EC" w:rsidRDefault="002B64EC" w:rsidP="002B64EC">
      <w:pPr>
        <w:numPr>
          <w:ilvl w:val="0"/>
          <w:numId w:val="6"/>
        </w:numPr>
        <w:jc w:val="both"/>
        <w:rPr>
          <w:rFonts w:ascii="Verdana" w:hAnsi="Verdana"/>
          <w:sz w:val="18"/>
          <w:szCs w:val="18"/>
        </w:rPr>
      </w:pPr>
      <w:r w:rsidRPr="002B64EC">
        <w:rPr>
          <w:rFonts w:ascii="Verdana" w:hAnsi="Verdana"/>
          <w:sz w:val="18"/>
          <w:szCs w:val="18"/>
        </w:rPr>
        <w:t>Analyze historical supplier delivery performance and lead-time variability</w:t>
      </w:r>
    </w:p>
    <w:p w14:paraId="1903EA23" w14:textId="77777777" w:rsidR="002B64EC" w:rsidRPr="002B64EC" w:rsidRDefault="002B64EC" w:rsidP="002B64EC">
      <w:pPr>
        <w:numPr>
          <w:ilvl w:val="0"/>
          <w:numId w:val="6"/>
        </w:numPr>
        <w:jc w:val="both"/>
        <w:rPr>
          <w:rFonts w:ascii="Verdana" w:hAnsi="Verdana"/>
          <w:sz w:val="18"/>
          <w:szCs w:val="18"/>
        </w:rPr>
      </w:pPr>
      <w:r w:rsidRPr="002B64EC">
        <w:rPr>
          <w:rFonts w:ascii="Verdana" w:hAnsi="Verdana"/>
          <w:sz w:val="18"/>
          <w:szCs w:val="18"/>
        </w:rPr>
        <w:t>Detect abnormal volatility patterns that may signal elevated disruption risk</w:t>
      </w:r>
    </w:p>
    <w:p w14:paraId="463A0C64" w14:textId="77777777" w:rsidR="002B64EC" w:rsidRPr="002B64EC" w:rsidRDefault="002B64EC" w:rsidP="002B64EC">
      <w:pPr>
        <w:numPr>
          <w:ilvl w:val="0"/>
          <w:numId w:val="6"/>
        </w:numPr>
        <w:jc w:val="both"/>
        <w:rPr>
          <w:rFonts w:ascii="Verdana" w:hAnsi="Verdana"/>
          <w:sz w:val="18"/>
          <w:szCs w:val="18"/>
        </w:rPr>
      </w:pPr>
      <w:r w:rsidRPr="002B64EC">
        <w:rPr>
          <w:rFonts w:ascii="Verdana" w:hAnsi="Verdana"/>
          <w:sz w:val="18"/>
          <w:szCs w:val="18"/>
        </w:rPr>
        <w:t>Generate supplier-level risk indicators to support procurement and production planning decisions</w:t>
      </w:r>
    </w:p>
    <w:p w14:paraId="3BFA43B3" w14:textId="77777777" w:rsidR="002B64EC" w:rsidRDefault="002B64EC" w:rsidP="002B64EC">
      <w:pPr>
        <w:numPr>
          <w:ilvl w:val="0"/>
          <w:numId w:val="6"/>
        </w:numPr>
        <w:jc w:val="both"/>
        <w:rPr>
          <w:rFonts w:ascii="Verdana" w:hAnsi="Verdana"/>
          <w:sz w:val="18"/>
          <w:szCs w:val="18"/>
        </w:rPr>
      </w:pPr>
      <w:r w:rsidRPr="002B64EC">
        <w:rPr>
          <w:rFonts w:ascii="Verdana" w:hAnsi="Verdana"/>
          <w:sz w:val="18"/>
          <w:szCs w:val="18"/>
        </w:rPr>
        <w:t>Present outputs in a clear and interpretable format for operational stakeholders</w:t>
      </w:r>
    </w:p>
    <w:p w14:paraId="66491291" w14:textId="77777777" w:rsidR="002B64EC" w:rsidRPr="002B64EC" w:rsidRDefault="002B64EC" w:rsidP="002B64EC">
      <w:pPr>
        <w:ind w:left="720"/>
        <w:jc w:val="both"/>
        <w:rPr>
          <w:rFonts w:ascii="Verdana" w:hAnsi="Verdana"/>
          <w:sz w:val="18"/>
          <w:szCs w:val="18"/>
        </w:rPr>
      </w:pPr>
    </w:p>
    <w:p w14:paraId="0B040F09" w14:textId="77777777" w:rsidR="002B64EC" w:rsidRDefault="002B64EC" w:rsidP="002B64EC">
      <w:pPr>
        <w:jc w:val="both"/>
        <w:rPr>
          <w:rFonts w:ascii="Verdana" w:hAnsi="Verdana"/>
          <w:sz w:val="18"/>
          <w:szCs w:val="18"/>
        </w:rPr>
      </w:pPr>
      <w:r w:rsidRPr="002B64EC">
        <w:rPr>
          <w:rFonts w:ascii="Verdana" w:hAnsi="Verdana"/>
          <w:sz w:val="18"/>
          <w:szCs w:val="18"/>
        </w:rPr>
        <w:t xml:space="preserve">The system must balance predictive accuracy with interpretability to ensure that supply chain managers can confidently use model outputs to guide decision-making. The overall objective is to transition aerospace supply chain management from reactive </w:t>
      </w:r>
      <w:proofErr w:type="gramStart"/>
      <w:r w:rsidRPr="002B64EC">
        <w:rPr>
          <w:rFonts w:ascii="Verdana" w:hAnsi="Verdana"/>
          <w:sz w:val="18"/>
          <w:szCs w:val="18"/>
        </w:rPr>
        <w:t>disruption response</w:t>
      </w:r>
      <w:proofErr w:type="gramEnd"/>
      <w:r w:rsidRPr="002B64EC">
        <w:rPr>
          <w:rFonts w:ascii="Verdana" w:hAnsi="Verdana"/>
          <w:sz w:val="18"/>
          <w:szCs w:val="18"/>
        </w:rPr>
        <w:t xml:space="preserve"> to proactive risk mitigation.</w:t>
      </w:r>
    </w:p>
    <w:p w14:paraId="22BB619F" w14:textId="77777777" w:rsidR="002B64EC" w:rsidRDefault="002B64EC" w:rsidP="002B64EC">
      <w:pPr>
        <w:jc w:val="both"/>
        <w:rPr>
          <w:rFonts w:ascii="Verdana" w:hAnsi="Verdana"/>
          <w:sz w:val="18"/>
          <w:szCs w:val="18"/>
        </w:rPr>
      </w:pPr>
    </w:p>
    <w:p w14:paraId="772C39B2" w14:textId="77777777" w:rsidR="002B64EC" w:rsidRPr="002B64EC" w:rsidRDefault="002B64EC" w:rsidP="002B64EC">
      <w:pPr>
        <w:jc w:val="both"/>
        <w:rPr>
          <w:rFonts w:ascii="Verdana" w:hAnsi="Verdana"/>
          <w:b/>
          <w:bCs/>
          <w:sz w:val="18"/>
          <w:szCs w:val="18"/>
        </w:rPr>
      </w:pPr>
      <w:r w:rsidRPr="002B64EC">
        <w:rPr>
          <w:rFonts w:ascii="Verdana" w:hAnsi="Verdana"/>
          <w:b/>
          <w:bCs/>
          <w:sz w:val="18"/>
          <w:szCs w:val="18"/>
        </w:rPr>
        <w:t>Design</w:t>
      </w:r>
    </w:p>
    <w:p w14:paraId="76AE5A85" w14:textId="77777777" w:rsidR="002B64EC" w:rsidRDefault="002B64EC" w:rsidP="002B64EC">
      <w:pPr>
        <w:jc w:val="both"/>
        <w:rPr>
          <w:rFonts w:ascii="Verdana" w:hAnsi="Verdana"/>
          <w:sz w:val="18"/>
          <w:szCs w:val="18"/>
        </w:rPr>
      </w:pPr>
      <w:r w:rsidRPr="002B64EC">
        <w:rPr>
          <w:rFonts w:ascii="Verdana" w:hAnsi="Verdana"/>
          <w:sz w:val="18"/>
          <w:szCs w:val="18"/>
        </w:rPr>
        <w:t>The system will follow a modular analytics pipeline architecture consisting of four primary components:</w:t>
      </w:r>
    </w:p>
    <w:p w14:paraId="6287F722" w14:textId="77777777" w:rsidR="002B64EC" w:rsidRPr="002B64EC" w:rsidRDefault="002B64EC" w:rsidP="002B64EC">
      <w:pPr>
        <w:jc w:val="both"/>
        <w:rPr>
          <w:rFonts w:ascii="Verdana" w:hAnsi="Verdana"/>
          <w:sz w:val="18"/>
          <w:szCs w:val="18"/>
        </w:rPr>
      </w:pPr>
    </w:p>
    <w:p w14:paraId="19D3A012" w14:textId="77777777" w:rsidR="002B64EC" w:rsidRPr="002B64EC" w:rsidRDefault="002B64EC" w:rsidP="002B64EC">
      <w:pPr>
        <w:jc w:val="both"/>
        <w:rPr>
          <w:rFonts w:ascii="Verdana" w:hAnsi="Verdana"/>
          <w:b/>
          <w:bCs/>
          <w:sz w:val="18"/>
          <w:szCs w:val="18"/>
        </w:rPr>
      </w:pPr>
      <w:r w:rsidRPr="002B64EC">
        <w:rPr>
          <w:rFonts w:ascii="Verdana" w:hAnsi="Verdana"/>
          <w:b/>
          <w:bCs/>
          <w:sz w:val="18"/>
          <w:szCs w:val="18"/>
        </w:rPr>
        <w:t>Data Ingestion Layer</w:t>
      </w:r>
    </w:p>
    <w:p w14:paraId="66B0A0D6" w14:textId="77777777" w:rsidR="002B64EC" w:rsidRDefault="002B64EC" w:rsidP="002B64EC">
      <w:pPr>
        <w:jc w:val="both"/>
        <w:rPr>
          <w:rFonts w:ascii="Verdana" w:hAnsi="Verdana"/>
          <w:sz w:val="18"/>
          <w:szCs w:val="18"/>
        </w:rPr>
      </w:pPr>
      <w:r w:rsidRPr="002B64EC">
        <w:rPr>
          <w:rFonts w:ascii="Verdana" w:hAnsi="Verdana"/>
          <w:sz w:val="18"/>
          <w:szCs w:val="18"/>
        </w:rPr>
        <w:t>Structured datasets representing supplier delivery history, lead-time performance, and production scheduling metrics will be collected and stored within the analytics environment.</w:t>
      </w:r>
    </w:p>
    <w:p w14:paraId="26AE8847" w14:textId="77777777" w:rsidR="002B64EC" w:rsidRPr="002B64EC" w:rsidRDefault="002B64EC" w:rsidP="002B64EC">
      <w:pPr>
        <w:jc w:val="both"/>
        <w:rPr>
          <w:rFonts w:ascii="Verdana" w:hAnsi="Verdana"/>
          <w:sz w:val="18"/>
          <w:szCs w:val="18"/>
        </w:rPr>
      </w:pPr>
    </w:p>
    <w:p w14:paraId="21172AD4" w14:textId="77777777" w:rsidR="002B64EC" w:rsidRPr="002B64EC" w:rsidRDefault="002B64EC" w:rsidP="002B64EC">
      <w:pPr>
        <w:jc w:val="both"/>
        <w:rPr>
          <w:rFonts w:ascii="Verdana" w:hAnsi="Verdana"/>
          <w:b/>
          <w:bCs/>
          <w:sz w:val="18"/>
          <w:szCs w:val="18"/>
        </w:rPr>
      </w:pPr>
      <w:r w:rsidRPr="002B64EC">
        <w:rPr>
          <w:rFonts w:ascii="Verdana" w:hAnsi="Verdana"/>
          <w:b/>
          <w:bCs/>
          <w:sz w:val="18"/>
          <w:szCs w:val="18"/>
        </w:rPr>
        <w:t>Data Preparation and Feature Engineering</w:t>
      </w:r>
    </w:p>
    <w:p w14:paraId="10D2CEE0" w14:textId="77777777" w:rsidR="002B64EC" w:rsidRDefault="002B64EC" w:rsidP="002B64EC">
      <w:pPr>
        <w:jc w:val="both"/>
        <w:rPr>
          <w:rFonts w:ascii="Verdana" w:hAnsi="Verdana"/>
          <w:sz w:val="18"/>
          <w:szCs w:val="18"/>
        </w:rPr>
      </w:pPr>
      <w:r w:rsidRPr="002B64EC">
        <w:rPr>
          <w:rFonts w:ascii="Verdana" w:hAnsi="Verdana"/>
          <w:sz w:val="18"/>
          <w:szCs w:val="18"/>
        </w:rPr>
        <w:t>Raw data will undergo preprocessing steps including cleaning, normalization, and transformation. Key features such as average lead-time deviation, delivery variance, frequency of delay events, and trend indicators will be engineered to support predictive modeling.</w:t>
      </w:r>
    </w:p>
    <w:p w14:paraId="1EA6E0CE" w14:textId="77777777" w:rsidR="002B64EC" w:rsidRPr="002B64EC" w:rsidRDefault="002B64EC" w:rsidP="002B64EC">
      <w:pPr>
        <w:jc w:val="both"/>
        <w:rPr>
          <w:rFonts w:ascii="Verdana" w:hAnsi="Verdana"/>
          <w:sz w:val="18"/>
          <w:szCs w:val="18"/>
        </w:rPr>
      </w:pPr>
    </w:p>
    <w:p w14:paraId="02572246" w14:textId="77777777" w:rsidR="002B64EC" w:rsidRPr="002B64EC" w:rsidRDefault="002B64EC" w:rsidP="002B64EC">
      <w:pPr>
        <w:jc w:val="both"/>
        <w:rPr>
          <w:rFonts w:ascii="Verdana" w:hAnsi="Verdana"/>
          <w:b/>
          <w:bCs/>
          <w:sz w:val="18"/>
          <w:szCs w:val="18"/>
        </w:rPr>
      </w:pPr>
      <w:r w:rsidRPr="002B64EC">
        <w:rPr>
          <w:rFonts w:ascii="Verdana" w:hAnsi="Verdana"/>
          <w:b/>
          <w:bCs/>
          <w:sz w:val="18"/>
          <w:szCs w:val="18"/>
        </w:rPr>
        <w:t>Predictive Modeling Component</w:t>
      </w:r>
    </w:p>
    <w:p w14:paraId="63CA8210" w14:textId="77777777" w:rsidR="002B64EC" w:rsidRDefault="002B64EC" w:rsidP="002B64EC">
      <w:pPr>
        <w:jc w:val="both"/>
        <w:rPr>
          <w:rFonts w:ascii="Verdana" w:hAnsi="Verdana"/>
          <w:sz w:val="18"/>
          <w:szCs w:val="18"/>
        </w:rPr>
      </w:pPr>
      <w:r w:rsidRPr="002B64EC">
        <w:rPr>
          <w:rFonts w:ascii="Verdana" w:hAnsi="Verdana"/>
          <w:sz w:val="18"/>
          <w:szCs w:val="18"/>
        </w:rPr>
        <w:t>Machine learning models will be applied to estimate disruption probability and forecast lead-time volatility. Baseline statistical forecasting models will be developed first, followed by regression-based or ensemble machine learning approaches to evaluate improvements in predictive performance.</w:t>
      </w:r>
    </w:p>
    <w:p w14:paraId="57DBE344" w14:textId="77777777" w:rsidR="002B64EC" w:rsidRPr="002B64EC" w:rsidRDefault="002B64EC" w:rsidP="002B64EC">
      <w:pPr>
        <w:jc w:val="both"/>
        <w:rPr>
          <w:rFonts w:ascii="Verdana" w:hAnsi="Verdana"/>
          <w:sz w:val="18"/>
          <w:szCs w:val="18"/>
        </w:rPr>
      </w:pPr>
    </w:p>
    <w:p w14:paraId="6AEC8737" w14:textId="77777777" w:rsidR="002B64EC" w:rsidRPr="002B64EC" w:rsidRDefault="002B64EC" w:rsidP="002B64EC">
      <w:pPr>
        <w:jc w:val="both"/>
        <w:rPr>
          <w:rFonts w:ascii="Verdana" w:hAnsi="Verdana"/>
          <w:b/>
          <w:bCs/>
          <w:sz w:val="18"/>
          <w:szCs w:val="18"/>
        </w:rPr>
      </w:pPr>
      <w:r w:rsidRPr="002B64EC">
        <w:rPr>
          <w:rFonts w:ascii="Verdana" w:hAnsi="Verdana"/>
          <w:b/>
          <w:bCs/>
          <w:sz w:val="18"/>
          <w:szCs w:val="18"/>
        </w:rPr>
        <w:t>Risk Scoring and Visualization Layer</w:t>
      </w:r>
    </w:p>
    <w:p w14:paraId="0F0C2CF0" w14:textId="77777777" w:rsidR="002B64EC" w:rsidRDefault="002B64EC" w:rsidP="002B64EC">
      <w:pPr>
        <w:jc w:val="both"/>
        <w:rPr>
          <w:rFonts w:ascii="Verdana" w:hAnsi="Verdana"/>
          <w:sz w:val="18"/>
          <w:szCs w:val="18"/>
        </w:rPr>
      </w:pPr>
      <w:r w:rsidRPr="002B64EC">
        <w:rPr>
          <w:rFonts w:ascii="Verdana" w:hAnsi="Verdana"/>
          <w:sz w:val="18"/>
          <w:szCs w:val="18"/>
        </w:rPr>
        <w:t>Model outputs will be transformed into supplier risk scores and volatility indicators. These outputs will be made available for visualization to support operational interpretation and strategic planning decisions.</w:t>
      </w:r>
    </w:p>
    <w:p w14:paraId="0E1E8FD4" w14:textId="77777777" w:rsidR="002B64EC" w:rsidRPr="002B64EC" w:rsidRDefault="002B64EC" w:rsidP="002B64EC">
      <w:pPr>
        <w:jc w:val="both"/>
        <w:rPr>
          <w:rFonts w:ascii="Verdana" w:hAnsi="Verdana"/>
          <w:sz w:val="18"/>
          <w:szCs w:val="18"/>
        </w:rPr>
      </w:pPr>
    </w:p>
    <w:p w14:paraId="6124B2A6" w14:textId="77777777" w:rsidR="002B64EC" w:rsidRPr="002B64EC" w:rsidRDefault="002B64EC" w:rsidP="002B64EC">
      <w:pPr>
        <w:jc w:val="both"/>
        <w:rPr>
          <w:rFonts w:ascii="Verdana" w:hAnsi="Verdana"/>
          <w:sz w:val="18"/>
          <w:szCs w:val="18"/>
        </w:rPr>
      </w:pPr>
      <w:r w:rsidRPr="002B64EC">
        <w:rPr>
          <w:rFonts w:ascii="Verdana" w:hAnsi="Verdana"/>
          <w:sz w:val="18"/>
          <w:szCs w:val="18"/>
        </w:rPr>
        <w:t>This structured design promotes scalability, reproducibility, and alignment with modern enterprise analytics practices.</w:t>
      </w:r>
    </w:p>
    <w:p w14:paraId="76BC2DD3" w14:textId="77777777" w:rsidR="002B64EC" w:rsidRDefault="002B64EC" w:rsidP="002B64EC">
      <w:pPr>
        <w:jc w:val="both"/>
        <w:rPr>
          <w:rFonts w:ascii="Verdana" w:hAnsi="Verdana"/>
          <w:sz w:val="18"/>
          <w:szCs w:val="18"/>
        </w:rPr>
      </w:pPr>
    </w:p>
    <w:p w14:paraId="14E95129" w14:textId="77777777" w:rsidR="002B64EC" w:rsidRPr="002B64EC" w:rsidRDefault="002B64EC" w:rsidP="002B64EC">
      <w:pPr>
        <w:jc w:val="both"/>
        <w:rPr>
          <w:rFonts w:ascii="Verdana" w:hAnsi="Verdana"/>
          <w:b/>
          <w:bCs/>
          <w:sz w:val="18"/>
          <w:szCs w:val="18"/>
        </w:rPr>
      </w:pPr>
      <w:r w:rsidRPr="002B64EC">
        <w:rPr>
          <w:rFonts w:ascii="Verdana" w:hAnsi="Verdana"/>
          <w:b/>
          <w:bCs/>
          <w:sz w:val="18"/>
          <w:szCs w:val="18"/>
        </w:rPr>
        <w:t>Implementation</w:t>
      </w:r>
    </w:p>
    <w:p w14:paraId="55DB5B79" w14:textId="77777777" w:rsidR="002B64EC" w:rsidRPr="002B64EC" w:rsidRDefault="002B64EC" w:rsidP="002B64EC">
      <w:pPr>
        <w:jc w:val="both"/>
        <w:rPr>
          <w:rFonts w:ascii="Verdana" w:hAnsi="Verdana"/>
          <w:sz w:val="18"/>
          <w:szCs w:val="18"/>
        </w:rPr>
      </w:pPr>
      <w:r w:rsidRPr="002B64EC">
        <w:rPr>
          <w:rFonts w:ascii="Verdana" w:hAnsi="Verdana"/>
          <w:sz w:val="18"/>
          <w:szCs w:val="18"/>
        </w:rPr>
        <w:t>Implementation will proceed in iterative phases:</w:t>
      </w:r>
    </w:p>
    <w:p w14:paraId="5B511908" w14:textId="77777777" w:rsidR="002B64EC" w:rsidRPr="002B64EC" w:rsidRDefault="002B64EC" w:rsidP="002B64EC">
      <w:pPr>
        <w:numPr>
          <w:ilvl w:val="0"/>
          <w:numId w:val="7"/>
        </w:numPr>
        <w:jc w:val="both"/>
        <w:rPr>
          <w:rFonts w:ascii="Verdana" w:hAnsi="Verdana"/>
          <w:sz w:val="18"/>
          <w:szCs w:val="18"/>
        </w:rPr>
      </w:pPr>
      <w:r w:rsidRPr="002B64EC">
        <w:rPr>
          <w:rFonts w:ascii="Verdana" w:hAnsi="Verdana"/>
          <w:sz w:val="18"/>
          <w:szCs w:val="18"/>
        </w:rPr>
        <w:t>Development or acquisition of a representative dataset simulating supplier delivery variability.</w:t>
      </w:r>
    </w:p>
    <w:p w14:paraId="513A2D35" w14:textId="77777777" w:rsidR="002B64EC" w:rsidRPr="002B64EC" w:rsidRDefault="002B64EC" w:rsidP="002B64EC">
      <w:pPr>
        <w:numPr>
          <w:ilvl w:val="0"/>
          <w:numId w:val="7"/>
        </w:numPr>
        <w:jc w:val="both"/>
        <w:rPr>
          <w:rFonts w:ascii="Verdana" w:hAnsi="Verdana"/>
          <w:sz w:val="18"/>
          <w:szCs w:val="18"/>
        </w:rPr>
      </w:pPr>
      <w:r w:rsidRPr="002B64EC">
        <w:rPr>
          <w:rFonts w:ascii="Verdana" w:hAnsi="Verdana"/>
          <w:sz w:val="18"/>
          <w:szCs w:val="18"/>
        </w:rPr>
        <w:t>Exploratory Data Analysis (EDA) to identify patterns of volatility and delay behavior.</w:t>
      </w:r>
    </w:p>
    <w:p w14:paraId="3FE53A46" w14:textId="77777777" w:rsidR="002B64EC" w:rsidRPr="002B64EC" w:rsidRDefault="002B64EC" w:rsidP="002B64EC">
      <w:pPr>
        <w:numPr>
          <w:ilvl w:val="0"/>
          <w:numId w:val="7"/>
        </w:numPr>
        <w:jc w:val="both"/>
        <w:rPr>
          <w:rFonts w:ascii="Verdana" w:hAnsi="Verdana"/>
          <w:sz w:val="18"/>
          <w:szCs w:val="18"/>
        </w:rPr>
      </w:pPr>
      <w:r w:rsidRPr="002B64EC">
        <w:rPr>
          <w:rFonts w:ascii="Verdana" w:hAnsi="Verdana"/>
          <w:sz w:val="18"/>
          <w:szCs w:val="18"/>
        </w:rPr>
        <w:t>Construction of baseline forecasting models to establish performance benchmarks.</w:t>
      </w:r>
    </w:p>
    <w:p w14:paraId="57F9581C" w14:textId="77777777" w:rsidR="002B64EC" w:rsidRPr="002B64EC" w:rsidRDefault="002B64EC" w:rsidP="002B64EC">
      <w:pPr>
        <w:numPr>
          <w:ilvl w:val="0"/>
          <w:numId w:val="7"/>
        </w:numPr>
        <w:jc w:val="both"/>
        <w:rPr>
          <w:rFonts w:ascii="Verdana" w:hAnsi="Verdana"/>
          <w:sz w:val="18"/>
          <w:szCs w:val="18"/>
        </w:rPr>
      </w:pPr>
      <w:r w:rsidRPr="002B64EC">
        <w:rPr>
          <w:rFonts w:ascii="Verdana" w:hAnsi="Verdana"/>
          <w:sz w:val="18"/>
          <w:szCs w:val="18"/>
        </w:rPr>
        <w:t>Development and evaluation of machine learning models using appropriate metrics such as RMSE, MAE, or classification accuracy.</w:t>
      </w:r>
    </w:p>
    <w:p w14:paraId="13B60B5B" w14:textId="77777777" w:rsidR="002B64EC" w:rsidRDefault="002B64EC" w:rsidP="002B64EC">
      <w:pPr>
        <w:numPr>
          <w:ilvl w:val="0"/>
          <w:numId w:val="7"/>
        </w:numPr>
        <w:jc w:val="both"/>
        <w:rPr>
          <w:rFonts w:ascii="Verdana" w:hAnsi="Verdana"/>
          <w:sz w:val="18"/>
          <w:szCs w:val="18"/>
        </w:rPr>
      </w:pPr>
      <w:r w:rsidRPr="002B64EC">
        <w:rPr>
          <w:rFonts w:ascii="Verdana" w:hAnsi="Verdana"/>
          <w:sz w:val="18"/>
          <w:szCs w:val="18"/>
        </w:rPr>
        <w:t>Integration of model outputs into a reporting environment for visualization and analysis.</w:t>
      </w:r>
    </w:p>
    <w:p w14:paraId="1CAF0174" w14:textId="77777777" w:rsidR="002B64EC" w:rsidRPr="002B64EC" w:rsidRDefault="002B64EC" w:rsidP="002B64EC">
      <w:pPr>
        <w:ind w:left="720"/>
        <w:jc w:val="both"/>
        <w:rPr>
          <w:rFonts w:ascii="Verdana" w:hAnsi="Verdana"/>
          <w:sz w:val="18"/>
          <w:szCs w:val="18"/>
        </w:rPr>
      </w:pPr>
    </w:p>
    <w:p w14:paraId="49DE6C16" w14:textId="77777777" w:rsidR="002B64EC" w:rsidRPr="002B64EC" w:rsidRDefault="002B64EC" w:rsidP="002B64EC">
      <w:pPr>
        <w:jc w:val="both"/>
        <w:rPr>
          <w:rFonts w:ascii="Verdana" w:hAnsi="Verdana"/>
          <w:sz w:val="18"/>
          <w:szCs w:val="18"/>
        </w:rPr>
      </w:pPr>
      <w:r w:rsidRPr="002B64EC">
        <w:rPr>
          <w:rFonts w:ascii="Verdana" w:hAnsi="Verdana"/>
          <w:sz w:val="18"/>
          <w:szCs w:val="18"/>
        </w:rPr>
        <w:t>The implementation strategy emphasizes modular development, clear documentation, and repeatable experimentation to support future scalability.</w:t>
      </w:r>
    </w:p>
    <w:p w14:paraId="6B9167F8" w14:textId="77777777" w:rsidR="002B64EC" w:rsidRDefault="002B64EC" w:rsidP="002B64EC">
      <w:pPr>
        <w:jc w:val="both"/>
        <w:rPr>
          <w:rFonts w:ascii="Verdana" w:hAnsi="Verdana"/>
          <w:sz w:val="18"/>
          <w:szCs w:val="18"/>
        </w:rPr>
      </w:pPr>
    </w:p>
    <w:p w14:paraId="172CAE9B" w14:textId="77777777" w:rsidR="002B64EC" w:rsidRPr="002B64EC" w:rsidRDefault="002B64EC" w:rsidP="002B64EC">
      <w:pPr>
        <w:jc w:val="both"/>
        <w:rPr>
          <w:rFonts w:ascii="Verdana" w:hAnsi="Verdana"/>
          <w:b/>
          <w:bCs/>
          <w:sz w:val="18"/>
          <w:szCs w:val="18"/>
        </w:rPr>
      </w:pPr>
      <w:r w:rsidRPr="002B64EC">
        <w:rPr>
          <w:rFonts w:ascii="Verdana" w:hAnsi="Verdana"/>
          <w:b/>
          <w:bCs/>
          <w:sz w:val="18"/>
          <w:szCs w:val="18"/>
        </w:rPr>
        <w:t>Technologies Used</w:t>
      </w:r>
    </w:p>
    <w:p w14:paraId="28332F2D" w14:textId="77777777" w:rsidR="002B64EC" w:rsidRPr="002B64EC" w:rsidRDefault="002B64EC" w:rsidP="002B64EC">
      <w:pPr>
        <w:jc w:val="both"/>
        <w:rPr>
          <w:rFonts w:ascii="Verdana" w:hAnsi="Verdana"/>
          <w:sz w:val="18"/>
          <w:szCs w:val="18"/>
        </w:rPr>
      </w:pPr>
      <w:r w:rsidRPr="002B64EC">
        <w:rPr>
          <w:rFonts w:ascii="Verdana" w:hAnsi="Verdana"/>
          <w:sz w:val="18"/>
          <w:szCs w:val="18"/>
        </w:rPr>
        <w:t>The primary technology stack for this capstone will include:</w:t>
      </w:r>
    </w:p>
    <w:p w14:paraId="4EA59409" w14:textId="77777777" w:rsidR="002B64EC" w:rsidRPr="002B64EC" w:rsidRDefault="002B64EC" w:rsidP="002B64EC">
      <w:pPr>
        <w:numPr>
          <w:ilvl w:val="0"/>
          <w:numId w:val="8"/>
        </w:numPr>
        <w:jc w:val="both"/>
        <w:rPr>
          <w:rFonts w:ascii="Verdana" w:hAnsi="Verdana"/>
          <w:sz w:val="18"/>
          <w:szCs w:val="18"/>
        </w:rPr>
      </w:pPr>
      <w:r w:rsidRPr="002B64EC">
        <w:rPr>
          <w:rFonts w:ascii="Verdana" w:hAnsi="Verdana"/>
          <w:b/>
          <w:bCs/>
          <w:sz w:val="18"/>
          <w:szCs w:val="18"/>
        </w:rPr>
        <w:t>Databricks (Python notebooks)</w:t>
      </w:r>
      <w:r w:rsidRPr="002B64EC">
        <w:rPr>
          <w:rFonts w:ascii="Verdana" w:hAnsi="Verdana"/>
          <w:sz w:val="18"/>
          <w:szCs w:val="18"/>
        </w:rPr>
        <w:t xml:space="preserve"> for data processing, feature engineering, and predictive model development.</w:t>
      </w:r>
    </w:p>
    <w:p w14:paraId="412CEA12" w14:textId="77777777" w:rsidR="002B64EC" w:rsidRPr="002B64EC" w:rsidRDefault="002B64EC" w:rsidP="002B64EC">
      <w:pPr>
        <w:numPr>
          <w:ilvl w:val="0"/>
          <w:numId w:val="8"/>
        </w:numPr>
        <w:jc w:val="both"/>
        <w:rPr>
          <w:rFonts w:ascii="Verdana" w:hAnsi="Verdana"/>
          <w:sz w:val="18"/>
          <w:szCs w:val="18"/>
        </w:rPr>
      </w:pPr>
      <w:r w:rsidRPr="002B64EC">
        <w:rPr>
          <w:rFonts w:ascii="Verdana" w:hAnsi="Verdana"/>
          <w:b/>
          <w:bCs/>
          <w:sz w:val="18"/>
          <w:szCs w:val="18"/>
        </w:rPr>
        <w:lastRenderedPageBreak/>
        <w:t>Power BI</w:t>
      </w:r>
      <w:r w:rsidRPr="002B64EC">
        <w:rPr>
          <w:rFonts w:ascii="Verdana" w:hAnsi="Verdana"/>
          <w:sz w:val="18"/>
          <w:szCs w:val="18"/>
        </w:rPr>
        <w:t xml:space="preserve"> for dashboard creation and visualization of supplier risk scores and lead-time forecasts.</w:t>
      </w:r>
    </w:p>
    <w:p w14:paraId="731C9558" w14:textId="77777777" w:rsidR="002B64EC" w:rsidRPr="002B64EC" w:rsidRDefault="002B64EC" w:rsidP="002B64EC">
      <w:pPr>
        <w:numPr>
          <w:ilvl w:val="0"/>
          <w:numId w:val="8"/>
        </w:numPr>
        <w:jc w:val="both"/>
        <w:rPr>
          <w:rFonts w:ascii="Verdana" w:hAnsi="Verdana"/>
          <w:sz w:val="18"/>
          <w:szCs w:val="18"/>
        </w:rPr>
      </w:pPr>
      <w:r w:rsidRPr="002B64EC">
        <w:rPr>
          <w:rFonts w:ascii="Verdana" w:hAnsi="Verdana"/>
          <w:b/>
          <w:bCs/>
          <w:sz w:val="18"/>
          <w:szCs w:val="18"/>
        </w:rPr>
        <w:t>GitHub</w:t>
      </w:r>
      <w:r w:rsidRPr="002B64EC">
        <w:rPr>
          <w:rFonts w:ascii="Verdana" w:hAnsi="Verdana"/>
          <w:sz w:val="18"/>
          <w:szCs w:val="18"/>
        </w:rPr>
        <w:t xml:space="preserve"> for version control, documentation, and project tracking.</w:t>
      </w:r>
    </w:p>
    <w:p w14:paraId="2A9A44E2" w14:textId="77777777" w:rsidR="002B64EC" w:rsidRPr="002B64EC" w:rsidRDefault="002B64EC" w:rsidP="002B64EC">
      <w:pPr>
        <w:jc w:val="both"/>
        <w:rPr>
          <w:rFonts w:ascii="Verdana" w:hAnsi="Verdana"/>
          <w:sz w:val="18"/>
          <w:szCs w:val="18"/>
        </w:rPr>
      </w:pPr>
      <w:r w:rsidRPr="002B64EC">
        <w:rPr>
          <w:rFonts w:ascii="Verdana" w:hAnsi="Verdana"/>
          <w:sz w:val="18"/>
          <w:szCs w:val="18"/>
        </w:rPr>
        <w:t>To enhance reproducibility and model lifecycle management, the project may also leverage:</w:t>
      </w:r>
    </w:p>
    <w:p w14:paraId="7B516BF0" w14:textId="77777777" w:rsidR="002B64EC" w:rsidRPr="002B64EC" w:rsidRDefault="002B64EC" w:rsidP="002B64EC">
      <w:pPr>
        <w:numPr>
          <w:ilvl w:val="0"/>
          <w:numId w:val="9"/>
        </w:numPr>
        <w:jc w:val="both"/>
        <w:rPr>
          <w:rFonts w:ascii="Verdana" w:hAnsi="Verdana"/>
          <w:sz w:val="18"/>
          <w:szCs w:val="18"/>
        </w:rPr>
      </w:pPr>
      <w:r w:rsidRPr="002B64EC">
        <w:rPr>
          <w:rFonts w:ascii="Verdana" w:hAnsi="Verdana"/>
          <w:b/>
          <w:bCs/>
          <w:sz w:val="18"/>
          <w:szCs w:val="18"/>
        </w:rPr>
        <w:t>Delta Lake</w:t>
      </w:r>
      <w:r w:rsidRPr="002B64EC">
        <w:rPr>
          <w:rFonts w:ascii="Verdana" w:hAnsi="Verdana"/>
          <w:sz w:val="18"/>
          <w:szCs w:val="18"/>
        </w:rPr>
        <w:t xml:space="preserve"> for storing curated datasets and structured model output tables.</w:t>
      </w:r>
    </w:p>
    <w:p w14:paraId="7DA6CE38" w14:textId="77777777" w:rsidR="002B64EC" w:rsidRDefault="002B64EC" w:rsidP="002B64EC">
      <w:pPr>
        <w:numPr>
          <w:ilvl w:val="0"/>
          <w:numId w:val="9"/>
        </w:numPr>
        <w:jc w:val="both"/>
        <w:rPr>
          <w:rFonts w:ascii="Verdana" w:hAnsi="Verdana"/>
          <w:sz w:val="18"/>
          <w:szCs w:val="18"/>
        </w:rPr>
      </w:pPr>
      <w:proofErr w:type="spellStart"/>
      <w:r w:rsidRPr="002B64EC">
        <w:rPr>
          <w:rFonts w:ascii="Verdana" w:hAnsi="Verdana"/>
          <w:b/>
          <w:bCs/>
          <w:sz w:val="18"/>
          <w:szCs w:val="18"/>
        </w:rPr>
        <w:t>MLflow</w:t>
      </w:r>
      <w:proofErr w:type="spellEnd"/>
      <w:r w:rsidRPr="002B64EC">
        <w:rPr>
          <w:rFonts w:ascii="Verdana" w:hAnsi="Verdana"/>
          <w:sz w:val="18"/>
          <w:szCs w:val="18"/>
        </w:rPr>
        <w:t xml:space="preserve"> for experiment tracking, model comparison, and performance evaluation within the Databricks environment.</w:t>
      </w:r>
    </w:p>
    <w:p w14:paraId="54976A6E" w14:textId="77777777" w:rsidR="002B64EC" w:rsidRPr="002B64EC" w:rsidRDefault="002B64EC" w:rsidP="002B64EC">
      <w:pPr>
        <w:ind w:left="720"/>
        <w:jc w:val="both"/>
        <w:rPr>
          <w:rFonts w:ascii="Verdana" w:hAnsi="Verdana"/>
          <w:sz w:val="18"/>
          <w:szCs w:val="18"/>
        </w:rPr>
      </w:pPr>
    </w:p>
    <w:p w14:paraId="03423A40" w14:textId="77777777" w:rsidR="002B64EC" w:rsidRPr="002B64EC" w:rsidRDefault="002B64EC" w:rsidP="002B64EC">
      <w:pPr>
        <w:jc w:val="both"/>
        <w:rPr>
          <w:rFonts w:ascii="Verdana" w:hAnsi="Verdana"/>
          <w:sz w:val="18"/>
          <w:szCs w:val="18"/>
        </w:rPr>
      </w:pPr>
      <w:r w:rsidRPr="002B64EC">
        <w:rPr>
          <w:rFonts w:ascii="Verdana" w:hAnsi="Verdana"/>
          <w:sz w:val="18"/>
          <w:szCs w:val="18"/>
        </w:rPr>
        <w:t xml:space="preserve">Depending on scope and time constraints, the project will either incorporate Delta Lake and </w:t>
      </w:r>
      <w:proofErr w:type="spellStart"/>
      <w:r w:rsidRPr="002B64EC">
        <w:rPr>
          <w:rFonts w:ascii="Verdana" w:hAnsi="Verdana"/>
          <w:sz w:val="18"/>
          <w:szCs w:val="18"/>
        </w:rPr>
        <w:t>MLflow</w:t>
      </w:r>
      <w:proofErr w:type="spellEnd"/>
      <w:r w:rsidRPr="002B64EC">
        <w:rPr>
          <w:rFonts w:ascii="Verdana" w:hAnsi="Verdana"/>
          <w:sz w:val="18"/>
          <w:szCs w:val="18"/>
        </w:rPr>
        <w:t xml:space="preserve"> to demonstrate enterprise-grade model governance or focus primarily on Databricks-based modeling with Power BI visualization and GitHub documentation.</w:t>
      </w:r>
    </w:p>
    <w:p w14:paraId="77EA6E81" w14:textId="77777777" w:rsidR="00CC180D" w:rsidRPr="00AF369E" w:rsidRDefault="00171E1E" w:rsidP="00CC180D">
      <w:pPr>
        <w:spacing w:before="240"/>
        <w:jc w:val="center"/>
        <w:rPr>
          <w:rFonts w:ascii="Verdana" w:hAnsi="Verdana" w:cs="Arial"/>
          <w:sz w:val="18"/>
          <w:szCs w:val="18"/>
        </w:rPr>
      </w:pPr>
      <w:r>
        <w:rPr>
          <w:rFonts w:ascii="Verdana" w:hAnsi="Verdana" w:cs="Arial"/>
          <w:b/>
          <w:bCs/>
          <w:sz w:val="18"/>
          <w:szCs w:val="18"/>
        </w:rPr>
        <w:t>5</w:t>
      </w:r>
      <w:r w:rsidR="00CC180D" w:rsidRPr="00AF369E">
        <w:rPr>
          <w:rFonts w:ascii="Verdana" w:hAnsi="Verdana" w:cs="Arial"/>
          <w:b/>
          <w:bCs/>
          <w:sz w:val="18"/>
          <w:szCs w:val="18"/>
        </w:rPr>
        <w:t>.</w:t>
      </w:r>
      <w:r w:rsidR="00CC180D" w:rsidRPr="00AF369E">
        <w:rPr>
          <w:rFonts w:ascii="Verdana" w:hAnsi="Verdana"/>
          <w:sz w:val="18"/>
          <w:szCs w:val="18"/>
        </w:rPr>
        <w:t xml:space="preserve"> </w:t>
      </w:r>
      <w:r w:rsidR="00CC180D" w:rsidRPr="00AF369E">
        <w:rPr>
          <w:rFonts w:ascii="Verdana" w:hAnsi="Verdana"/>
          <w:b/>
          <w:bCs/>
          <w:sz w:val="18"/>
          <w:szCs w:val="18"/>
        </w:rPr>
        <w:t>REFERENCE</w:t>
      </w:r>
    </w:p>
    <w:p w14:paraId="1D55A84C" w14:textId="77777777" w:rsidR="00C93351" w:rsidRDefault="00C93351" w:rsidP="00C93351">
      <w:pPr>
        <w:spacing w:before="120"/>
        <w:ind w:left="360" w:hanging="360"/>
        <w:jc w:val="both"/>
      </w:pPr>
      <w:r w:rsidRPr="00C34F46">
        <w:rPr>
          <w:rFonts w:ascii="Verdana" w:hAnsi="Verdana"/>
          <w:sz w:val="18"/>
          <w:szCs w:val="18"/>
        </w:rPr>
        <w:t xml:space="preserve">Bednarski, L., Roscoe, S., Blome, C., &amp; Schleper, M. C. (2023). Geopolitical disruptions in global supply chains: a state-of-the-art literature review. </w:t>
      </w:r>
      <w:r w:rsidRPr="00C34F46">
        <w:rPr>
          <w:rFonts w:ascii="Verdana" w:hAnsi="Verdana"/>
          <w:i/>
          <w:iCs/>
          <w:sz w:val="18"/>
          <w:szCs w:val="18"/>
        </w:rPr>
        <w:t>Production Planning &amp; Control</w:t>
      </w:r>
      <w:r w:rsidRPr="00C34F46">
        <w:rPr>
          <w:rFonts w:ascii="Verdana" w:hAnsi="Verdana"/>
          <w:sz w:val="18"/>
          <w:szCs w:val="18"/>
        </w:rPr>
        <w:t xml:space="preserve">, 1–27. </w:t>
      </w:r>
      <w:hyperlink r:id="rId9" w:history="1">
        <w:r w:rsidRPr="00C34F46">
          <w:rPr>
            <w:rStyle w:val="Hyperlink"/>
            <w:rFonts w:ascii="Verdana" w:hAnsi="Verdana"/>
            <w:sz w:val="18"/>
            <w:szCs w:val="18"/>
          </w:rPr>
          <w:t>https://research.lancaster-university.uk/en/publications/geopolitical-disruptions-in-global-supply-chains-a-state-of-the-a/</w:t>
        </w:r>
      </w:hyperlink>
    </w:p>
    <w:p w14:paraId="7A26327D" w14:textId="77777777" w:rsidR="00C93351" w:rsidRDefault="00C93351" w:rsidP="00C93351">
      <w:pPr>
        <w:spacing w:before="120"/>
        <w:ind w:left="360" w:hanging="360"/>
        <w:jc w:val="both"/>
        <w:rPr>
          <w:rFonts w:ascii="Verdana" w:hAnsi="Verdana"/>
          <w:sz w:val="18"/>
          <w:szCs w:val="18"/>
        </w:rPr>
      </w:pPr>
      <w:r w:rsidRPr="00EA3F6D">
        <w:rPr>
          <w:rFonts w:ascii="Verdana" w:hAnsi="Verdana"/>
          <w:sz w:val="18"/>
          <w:szCs w:val="18"/>
        </w:rPr>
        <w:t xml:space="preserve">Douaioui, K. (2024, September). </w:t>
      </w:r>
      <w:r w:rsidRPr="00EA3F6D">
        <w:rPr>
          <w:rFonts w:ascii="Verdana" w:hAnsi="Verdana"/>
          <w:i/>
          <w:iCs/>
          <w:sz w:val="18"/>
          <w:szCs w:val="18"/>
        </w:rPr>
        <w:t>Machine Learning and Deep Learning Models for Demand Forecasting in Supply Chain Management: A Critical Review</w:t>
      </w:r>
      <w:r w:rsidRPr="00EA3F6D">
        <w:rPr>
          <w:rFonts w:ascii="Verdana" w:hAnsi="Verdana"/>
          <w:sz w:val="18"/>
          <w:szCs w:val="18"/>
        </w:rPr>
        <w:t xml:space="preserve">. ResearchGate. </w:t>
      </w:r>
      <w:hyperlink r:id="rId10" w:history="1">
        <w:r w:rsidRPr="00EA3F6D">
          <w:rPr>
            <w:rStyle w:val="Hyperlink"/>
            <w:rFonts w:ascii="Verdana" w:hAnsi="Verdana"/>
            <w:sz w:val="18"/>
            <w:szCs w:val="18"/>
          </w:rPr>
          <w:t>https://www.researchgate.net/publication/384388190_Machine_Learning_and_Deep_Learning_Models_for_Demand_Forecasting_in_Supply_Chain_Management_A_Critical_Review</w:t>
        </w:r>
      </w:hyperlink>
      <w:r w:rsidRPr="00EA3F6D">
        <w:rPr>
          <w:rFonts w:ascii="Verdana" w:hAnsi="Verdana"/>
          <w:sz w:val="18"/>
          <w:szCs w:val="18"/>
        </w:rPr>
        <w:t xml:space="preserve"> </w:t>
      </w:r>
    </w:p>
    <w:p w14:paraId="266BDF2C" w14:textId="77777777" w:rsidR="00C93351" w:rsidRDefault="00C93351" w:rsidP="00C93351">
      <w:pPr>
        <w:spacing w:before="120"/>
        <w:ind w:left="360" w:hanging="360"/>
        <w:jc w:val="both"/>
        <w:rPr>
          <w:rFonts w:ascii="Verdana" w:hAnsi="Verdana"/>
          <w:sz w:val="18"/>
          <w:szCs w:val="18"/>
        </w:rPr>
      </w:pPr>
      <w:r w:rsidRPr="009809D0">
        <w:rPr>
          <w:rFonts w:ascii="Verdana" w:hAnsi="Verdana"/>
          <w:sz w:val="18"/>
          <w:szCs w:val="18"/>
        </w:rPr>
        <w:t xml:space="preserve">Deloitte. (2023). </w:t>
      </w:r>
      <w:r w:rsidRPr="009809D0">
        <w:rPr>
          <w:rFonts w:ascii="Verdana" w:hAnsi="Verdana"/>
          <w:i/>
          <w:iCs/>
          <w:sz w:val="18"/>
          <w:szCs w:val="18"/>
        </w:rPr>
        <w:t>2023 aerospace and defense industry outlook.</w:t>
      </w:r>
      <w:r w:rsidRPr="009809D0">
        <w:rPr>
          <w:rFonts w:ascii="Verdana" w:hAnsi="Verdana"/>
          <w:sz w:val="18"/>
          <w:szCs w:val="18"/>
        </w:rPr>
        <w:t xml:space="preserve"> Deloitte Insights. </w:t>
      </w:r>
      <w:hyperlink r:id="rId11" w:tgtFrame="_new" w:history="1">
        <w:r w:rsidRPr="009809D0">
          <w:rPr>
            <w:rStyle w:val="Hyperlink"/>
            <w:rFonts w:ascii="Verdana" w:hAnsi="Verdana"/>
            <w:sz w:val="18"/>
            <w:szCs w:val="18"/>
          </w:rPr>
          <w:t>https://www.deloitte.com/global/en/Industries/defense-security-justice/analysis/gx-aerospace-and-defense-industry-outlook.html</w:t>
        </w:r>
      </w:hyperlink>
    </w:p>
    <w:p w14:paraId="135D54E8" w14:textId="77777777" w:rsidR="00C93351" w:rsidRDefault="00C93351" w:rsidP="00C93351">
      <w:pPr>
        <w:spacing w:before="120"/>
        <w:ind w:left="360" w:hanging="360"/>
        <w:jc w:val="both"/>
        <w:rPr>
          <w:rFonts w:ascii="Verdana" w:hAnsi="Verdana"/>
          <w:sz w:val="18"/>
          <w:szCs w:val="18"/>
        </w:rPr>
      </w:pPr>
      <w:r w:rsidRPr="009809D0">
        <w:rPr>
          <w:rFonts w:ascii="Verdana" w:hAnsi="Verdana"/>
          <w:sz w:val="18"/>
          <w:szCs w:val="18"/>
        </w:rPr>
        <w:t xml:space="preserve">Deloitte. (2025). </w:t>
      </w:r>
      <w:r w:rsidRPr="009809D0">
        <w:rPr>
          <w:rFonts w:ascii="Verdana" w:hAnsi="Verdana"/>
          <w:i/>
          <w:iCs/>
          <w:sz w:val="18"/>
          <w:szCs w:val="18"/>
        </w:rPr>
        <w:t>2025 aerospace and defense industry outlook.</w:t>
      </w:r>
      <w:r w:rsidRPr="009809D0">
        <w:rPr>
          <w:rFonts w:ascii="Verdana" w:hAnsi="Verdana"/>
          <w:sz w:val="18"/>
          <w:szCs w:val="18"/>
        </w:rPr>
        <w:t xml:space="preserve"> Deloitte Insights. </w:t>
      </w:r>
      <w:hyperlink r:id="rId12" w:tgtFrame="_new" w:history="1">
        <w:r w:rsidRPr="009809D0">
          <w:rPr>
            <w:rStyle w:val="Hyperlink"/>
            <w:rFonts w:ascii="Verdana" w:hAnsi="Verdana"/>
            <w:sz w:val="18"/>
            <w:szCs w:val="18"/>
          </w:rPr>
          <w:t>https://www.deloitte.com/us/en/insights/industry/aerospace-defense/aerospace-and-defense-industry-outlook/2025.html</w:t>
        </w:r>
      </w:hyperlink>
    </w:p>
    <w:p w14:paraId="7E8F0B6A" w14:textId="77777777" w:rsidR="00C93351" w:rsidRDefault="00C93351" w:rsidP="00C93351">
      <w:pPr>
        <w:spacing w:before="120"/>
        <w:ind w:left="360" w:hanging="360"/>
        <w:jc w:val="both"/>
        <w:rPr>
          <w:rFonts w:ascii="Verdana" w:hAnsi="Verdana"/>
          <w:sz w:val="18"/>
          <w:szCs w:val="18"/>
        </w:rPr>
      </w:pPr>
      <w:r w:rsidRPr="009809D0">
        <w:rPr>
          <w:rFonts w:ascii="Verdana" w:hAnsi="Verdana"/>
          <w:sz w:val="18"/>
          <w:szCs w:val="18"/>
        </w:rPr>
        <w:t xml:space="preserve">Deloitte. (2026). </w:t>
      </w:r>
      <w:r w:rsidRPr="009809D0">
        <w:rPr>
          <w:rFonts w:ascii="Verdana" w:hAnsi="Verdana"/>
          <w:i/>
          <w:iCs/>
          <w:sz w:val="18"/>
          <w:szCs w:val="18"/>
        </w:rPr>
        <w:t>2026 aerospace and defense industry outlook.</w:t>
      </w:r>
      <w:r w:rsidRPr="009809D0">
        <w:rPr>
          <w:rFonts w:ascii="Verdana" w:hAnsi="Verdana"/>
          <w:sz w:val="18"/>
          <w:szCs w:val="18"/>
        </w:rPr>
        <w:t xml:space="preserve"> Deloitte Insights. </w:t>
      </w:r>
      <w:hyperlink r:id="rId13" w:tgtFrame="_new" w:history="1">
        <w:r w:rsidRPr="009809D0">
          <w:rPr>
            <w:rStyle w:val="Hyperlink"/>
            <w:rFonts w:ascii="Verdana" w:hAnsi="Verdana"/>
            <w:sz w:val="18"/>
            <w:szCs w:val="18"/>
          </w:rPr>
          <w:t>https://www.deloitte.com/us/en/insights/industry/aerospace-defense/aerospace-and-defense-industry-outlook.html</w:t>
        </w:r>
      </w:hyperlink>
    </w:p>
    <w:p w14:paraId="50B5D81E" w14:textId="77777777" w:rsidR="00C93351" w:rsidRPr="00017563" w:rsidRDefault="00C93351" w:rsidP="00C93351">
      <w:pPr>
        <w:spacing w:before="120"/>
        <w:ind w:left="360" w:hanging="360"/>
        <w:jc w:val="both"/>
        <w:rPr>
          <w:rFonts w:ascii="Verdana" w:hAnsi="Verdana"/>
          <w:sz w:val="18"/>
          <w:szCs w:val="18"/>
        </w:rPr>
      </w:pPr>
      <w:proofErr w:type="spellStart"/>
      <w:r w:rsidRPr="00017563">
        <w:rPr>
          <w:rFonts w:ascii="Verdana" w:hAnsi="Verdana"/>
          <w:sz w:val="18"/>
          <w:szCs w:val="18"/>
        </w:rPr>
        <w:t>Ganapavaram</w:t>
      </w:r>
      <w:proofErr w:type="spellEnd"/>
      <w:r w:rsidRPr="00017563">
        <w:rPr>
          <w:rFonts w:ascii="Verdana" w:hAnsi="Verdana"/>
          <w:sz w:val="18"/>
          <w:szCs w:val="18"/>
        </w:rPr>
        <w:t xml:space="preserve">, A. (2024, March 12). </w:t>
      </w:r>
      <w:r w:rsidRPr="00017563">
        <w:rPr>
          <w:rFonts w:ascii="Verdana" w:hAnsi="Verdana"/>
          <w:i/>
          <w:iCs/>
          <w:sz w:val="18"/>
          <w:szCs w:val="18"/>
        </w:rPr>
        <w:t xml:space="preserve">US airlines warn of more Boeing delivery delays due to safety crisis | </w:t>
      </w:r>
      <w:proofErr w:type="spellStart"/>
      <w:r w:rsidRPr="00017563">
        <w:rPr>
          <w:rFonts w:ascii="Verdana" w:hAnsi="Verdana"/>
          <w:i/>
          <w:iCs/>
          <w:sz w:val="18"/>
          <w:szCs w:val="18"/>
        </w:rPr>
        <w:t>reuters</w:t>
      </w:r>
      <w:proofErr w:type="spellEnd"/>
      <w:r w:rsidRPr="00017563">
        <w:rPr>
          <w:rFonts w:ascii="Verdana" w:hAnsi="Verdana"/>
          <w:sz w:val="18"/>
          <w:szCs w:val="18"/>
        </w:rPr>
        <w:t xml:space="preserve">. Reuters. </w:t>
      </w:r>
      <w:hyperlink r:id="rId14" w:history="1">
        <w:r w:rsidRPr="00017563">
          <w:rPr>
            <w:rStyle w:val="Hyperlink"/>
            <w:rFonts w:ascii="Verdana" w:hAnsi="Verdana"/>
            <w:sz w:val="18"/>
            <w:szCs w:val="18"/>
          </w:rPr>
          <w:t>https://www.reuters.com/business/aerospace-defense/southwest-cuts-delivery-forecast-boeing-2024-03-12/</w:t>
        </w:r>
      </w:hyperlink>
      <w:r w:rsidRPr="00017563">
        <w:rPr>
          <w:rFonts w:ascii="Verdana" w:hAnsi="Verdana"/>
          <w:sz w:val="18"/>
          <w:szCs w:val="18"/>
        </w:rPr>
        <w:t xml:space="preserve"> </w:t>
      </w:r>
    </w:p>
    <w:p w14:paraId="6B30E56A" w14:textId="77777777" w:rsidR="00C93351" w:rsidRPr="00017563" w:rsidRDefault="00C93351" w:rsidP="00C93351">
      <w:pPr>
        <w:spacing w:before="120"/>
        <w:ind w:left="360" w:hanging="360"/>
        <w:jc w:val="both"/>
        <w:rPr>
          <w:rFonts w:ascii="Verdana" w:hAnsi="Verdana"/>
          <w:sz w:val="18"/>
          <w:szCs w:val="18"/>
        </w:rPr>
      </w:pPr>
      <w:r w:rsidRPr="00017563">
        <w:rPr>
          <w:rFonts w:ascii="Verdana" w:hAnsi="Verdana"/>
          <w:sz w:val="18"/>
          <w:szCs w:val="18"/>
        </w:rPr>
        <w:t xml:space="preserve">Hamilton, S. (2025, December 8). </w:t>
      </w:r>
      <w:r w:rsidRPr="00017563">
        <w:rPr>
          <w:rFonts w:ascii="Verdana" w:hAnsi="Verdana"/>
          <w:i/>
          <w:iCs/>
          <w:sz w:val="18"/>
          <w:szCs w:val="18"/>
        </w:rPr>
        <w:t>Supply chain continues to Bedevil Airbus, Boeing</w:t>
      </w:r>
      <w:r w:rsidRPr="00017563">
        <w:rPr>
          <w:rFonts w:ascii="Verdana" w:hAnsi="Verdana"/>
          <w:sz w:val="18"/>
          <w:szCs w:val="18"/>
        </w:rPr>
        <w:t xml:space="preserve">. Leeham News and Analysis. </w:t>
      </w:r>
      <w:hyperlink r:id="rId15" w:history="1">
        <w:r w:rsidRPr="00017563">
          <w:rPr>
            <w:rStyle w:val="Hyperlink"/>
            <w:rFonts w:ascii="Verdana" w:hAnsi="Verdana"/>
            <w:sz w:val="18"/>
            <w:szCs w:val="18"/>
          </w:rPr>
          <w:t>https://leehamnews.com/2025/12/08/supply-chain-continues-to-bedevil-airbus-boeing/</w:t>
        </w:r>
      </w:hyperlink>
      <w:r w:rsidRPr="00017563">
        <w:rPr>
          <w:rFonts w:ascii="Verdana" w:hAnsi="Verdana"/>
          <w:sz w:val="18"/>
          <w:szCs w:val="18"/>
        </w:rPr>
        <w:t xml:space="preserve"> </w:t>
      </w:r>
    </w:p>
    <w:p w14:paraId="4DDE10A3" w14:textId="77777777" w:rsidR="00C93351" w:rsidRPr="00017563" w:rsidRDefault="00C93351" w:rsidP="00C93351">
      <w:pPr>
        <w:spacing w:before="120"/>
        <w:ind w:left="360" w:hanging="360"/>
        <w:jc w:val="both"/>
        <w:rPr>
          <w:rFonts w:ascii="Verdana" w:hAnsi="Verdana"/>
          <w:sz w:val="18"/>
          <w:szCs w:val="18"/>
        </w:rPr>
      </w:pPr>
      <w:proofErr w:type="spellStart"/>
      <w:r w:rsidRPr="00017563">
        <w:rPr>
          <w:rFonts w:ascii="Verdana" w:hAnsi="Verdana"/>
          <w:sz w:val="18"/>
          <w:szCs w:val="18"/>
        </w:rPr>
        <w:t>Lagut</w:t>
      </w:r>
      <w:proofErr w:type="spellEnd"/>
      <w:r w:rsidRPr="00017563">
        <w:rPr>
          <w:rFonts w:ascii="Verdana" w:hAnsi="Verdana"/>
          <w:sz w:val="18"/>
          <w:szCs w:val="18"/>
        </w:rPr>
        <w:t xml:space="preserve">, S., Ram, R., Compton, N., &amp; </w:t>
      </w:r>
      <w:proofErr w:type="spellStart"/>
      <w:r w:rsidRPr="00017563">
        <w:rPr>
          <w:rFonts w:ascii="Verdana" w:hAnsi="Verdana"/>
          <w:sz w:val="18"/>
          <w:szCs w:val="18"/>
        </w:rPr>
        <w:t>Cadenazzi</w:t>
      </w:r>
      <w:proofErr w:type="spellEnd"/>
      <w:r w:rsidRPr="00017563">
        <w:rPr>
          <w:rFonts w:ascii="Verdana" w:hAnsi="Verdana"/>
          <w:sz w:val="18"/>
          <w:szCs w:val="18"/>
        </w:rPr>
        <w:t xml:space="preserve">, M. (2025, July 10). </w:t>
      </w:r>
      <w:r w:rsidRPr="00017563">
        <w:rPr>
          <w:rFonts w:ascii="Verdana" w:hAnsi="Verdana"/>
          <w:i/>
          <w:iCs/>
          <w:sz w:val="18"/>
          <w:szCs w:val="18"/>
        </w:rPr>
        <w:t>How can digital supply chains help manage aerospace risk?</w:t>
      </w:r>
      <w:r w:rsidRPr="00017563">
        <w:rPr>
          <w:rFonts w:ascii="Verdana" w:hAnsi="Verdana"/>
          <w:sz w:val="18"/>
          <w:szCs w:val="18"/>
        </w:rPr>
        <w:t xml:space="preserve"> </w:t>
      </w:r>
      <w:hyperlink r:id="rId16" w:history="1">
        <w:r w:rsidRPr="00017563">
          <w:rPr>
            <w:rStyle w:val="Hyperlink"/>
            <w:rFonts w:ascii="Verdana" w:hAnsi="Verdana"/>
            <w:sz w:val="18"/>
            <w:szCs w:val="18"/>
          </w:rPr>
          <w:t>https://www.ey.com/en_us/insights/aerospace-defense/how-can-digital-supply-chains-help-manage-aerospace-risk</w:t>
        </w:r>
      </w:hyperlink>
    </w:p>
    <w:p w14:paraId="63FAE89D" w14:textId="5B31243D" w:rsidR="00377C28" w:rsidRPr="00B54AEB" w:rsidRDefault="00C93351" w:rsidP="00C93351">
      <w:pPr>
        <w:jc w:val="both"/>
        <w:rPr>
          <w:rFonts w:ascii="Verdana" w:hAnsi="Verdana"/>
          <w:sz w:val="18"/>
          <w:szCs w:val="18"/>
        </w:rPr>
      </w:pPr>
      <w:r w:rsidRPr="00017563">
        <w:rPr>
          <w:rFonts w:ascii="Verdana" w:hAnsi="Verdana"/>
          <w:sz w:val="18"/>
          <w:szCs w:val="18"/>
        </w:rPr>
        <w:t xml:space="preserve">Lampert, A. (2024, September 10). </w:t>
      </w:r>
      <w:r w:rsidRPr="00017563">
        <w:rPr>
          <w:rFonts w:ascii="Verdana" w:hAnsi="Verdana"/>
          <w:i/>
          <w:iCs/>
          <w:sz w:val="18"/>
          <w:szCs w:val="18"/>
        </w:rPr>
        <w:t>Exclusive: Boeing delays suppliers’ 737 MAX output goal by 6 months, sources say | Reuters</w:t>
      </w:r>
      <w:r w:rsidRPr="00017563">
        <w:rPr>
          <w:rFonts w:ascii="Verdana" w:hAnsi="Verdana"/>
          <w:sz w:val="18"/>
          <w:szCs w:val="18"/>
        </w:rPr>
        <w:t xml:space="preserve">. Reuters. </w:t>
      </w:r>
      <w:hyperlink r:id="rId17" w:history="1">
        <w:r w:rsidRPr="00017563">
          <w:rPr>
            <w:rStyle w:val="Hyperlink"/>
            <w:rFonts w:ascii="Verdana" w:hAnsi="Verdana"/>
            <w:sz w:val="18"/>
            <w:szCs w:val="18"/>
          </w:rPr>
          <w:t>https://www.reuters.com/business/aerospace-defense/boeing-delays-suppliers-737-max-output-goal-by-6-months-sources-say-2024-09-09/</w:t>
        </w:r>
      </w:hyperlink>
    </w:p>
    <w:sectPr w:rsidR="00377C28" w:rsidRPr="00B54AEB" w:rsidSect="00AE7AFF">
      <w:type w:val="continuous"/>
      <w:pgSz w:w="12240" w:h="15840" w:code="1"/>
      <w:pgMar w:top="1440" w:right="1440" w:bottom="1440" w:left="1440" w:header="720" w:footer="720"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14F1F" w14:textId="77777777" w:rsidR="00D17518" w:rsidRDefault="00D17518" w:rsidP="00AE7AFF">
      <w:r>
        <w:separator/>
      </w:r>
    </w:p>
  </w:endnote>
  <w:endnote w:type="continuationSeparator" w:id="0">
    <w:p w14:paraId="7DEADE11" w14:textId="77777777" w:rsidR="00D17518" w:rsidRDefault="00D17518" w:rsidP="00AE7A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972649"/>
      <w:docPartObj>
        <w:docPartGallery w:val="Page Numbers (Bottom of Page)"/>
        <w:docPartUnique/>
      </w:docPartObj>
    </w:sdtPr>
    <w:sdtEndPr>
      <w:rPr>
        <w:noProof/>
      </w:rPr>
    </w:sdtEndPr>
    <w:sdtContent>
      <w:p w14:paraId="6A9109C4" w14:textId="248F6541" w:rsidR="00AE7AFF" w:rsidRDefault="00AE7AFF">
        <w:pPr>
          <w:pStyle w:val="Footer"/>
          <w:jc w:val="right"/>
        </w:pPr>
        <w:r>
          <w:fldChar w:fldCharType="begin"/>
        </w:r>
        <w:r>
          <w:instrText xml:space="preserve"> PAGE   \* MERGEFORMAT </w:instrText>
        </w:r>
        <w:r>
          <w:fldChar w:fldCharType="separate"/>
        </w:r>
        <w:r w:rsidR="00B85369">
          <w:rPr>
            <w:noProof/>
          </w:rPr>
          <w:t>1</w:t>
        </w:r>
        <w:r>
          <w:rPr>
            <w:noProof/>
          </w:rPr>
          <w:fldChar w:fldCharType="end"/>
        </w:r>
      </w:p>
    </w:sdtContent>
  </w:sdt>
  <w:p w14:paraId="59309605" w14:textId="77777777" w:rsidR="00AE7AFF" w:rsidRDefault="00AE7A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0440C" w14:textId="77777777" w:rsidR="00D17518" w:rsidRDefault="00D17518" w:rsidP="00AE7AFF">
      <w:r>
        <w:separator/>
      </w:r>
    </w:p>
  </w:footnote>
  <w:footnote w:type="continuationSeparator" w:id="0">
    <w:p w14:paraId="4F894A87" w14:textId="77777777" w:rsidR="00D17518" w:rsidRDefault="00D17518" w:rsidP="00AE7A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51EE7"/>
    <w:multiLevelType w:val="multilevel"/>
    <w:tmpl w:val="6DE4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7F5402"/>
    <w:multiLevelType w:val="hybridMultilevel"/>
    <w:tmpl w:val="3B1E6B3A"/>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AA46E99"/>
    <w:multiLevelType w:val="multilevel"/>
    <w:tmpl w:val="5F0E0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CA4DCF"/>
    <w:multiLevelType w:val="hybridMultilevel"/>
    <w:tmpl w:val="67BE8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4E4143"/>
    <w:multiLevelType w:val="hybridMultilevel"/>
    <w:tmpl w:val="D08E772A"/>
    <w:lvl w:ilvl="0" w:tplc="AE02FCE2">
      <w:start w:val="1"/>
      <w:numFmt w:val="bullet"/>
      <w:lvlText w:val=""/>
      <w:lvlJc w:val="left"/>
      <w:pPr>
        <w:tabs>
          <w:tab w:val="num" w:pos="576"/>
        </w:tabs>
        <w:ind w:left="576" w:hanging="432"/>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2E96AFE"/>
    <w:multiLevelType w:val="multilevel"/>
    <w:tmpl w:val="B588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F62347"/>
    <w:multiLevelType w:val="multilevel"/>
    <w:tmpl w:val="4C5C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DE3192"/>
    <w:multiLevelType w:val="hybridMultilevel"/>
    <w:tmpl w:val="07C45C3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74D4394A"/>
    <w:multiLevelType w:val="hybridMultilevel"/>
    <w:tmpl w:val="0B3EA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8693435">
    <w:abstractNumId w:val="7"/>
  </w:num>
  <w:num w:numId="2" w16cid:durableId="1915892664">
    <w:abstractNumId w:val="4"/>
  </w:num>
  <w:num w:numId="3" w16cid:durableId="1349216926">
    <w:abstractNumId w:val="1"/>
  </w:num>
  <w:num w:numId="4" w16cid:durableId="1414472320">
    <w:abstractNumId w:val="8"/>
  </w:num>
  <w:num w:numId="5" w16cid:durableId="1948271069">
    <w:abstractNumId w:val="3"/>
  </w:num>
  <w:num w:numId="6" w16cid:durableId="650905456">
    <w:abstractNumId w:val="5"/>
  </w:num>
  <w:num w:numId="7" w16cid:durableId="230819621">
    <w:abstractNumId w:val="2"/>
  </w:num>
  <w:num w:numId="8" w16cid:durableId="1102065465">
    <w:abstractNumId w:val="0"/>
  </w:num>
  <w:num w:numId="9" w16cid:durableId="13186076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4BE"/>
    <w:rsid w:val="00007054"/>
    <w:rsid w:val="00013C24"/>
    <w:rsid w:val="00075F57"/>
    <w:rsid w:val="000818B4"/>
    <w:rsid w:val="000A5B63"/>
    <w:rsid w:val="000B4B0D"/>
    <w:rsid w:val="000D5E56"/>
    <w:rsid w:val="000F604C"/>
    <w:rsid w:val="00106BE7"/>
    <w:rsid w:val="00132A93"/>
    <w:rsid w:val="00140602"/>
    <w:rsid w:val="00142950"/>
    <w:rsid w:val="00154DF9"/>
    <w:rsid w:val="00171E1E"/>
    <w:rsid w:val="00181974"/>
    <w:rsid w:val="00183C06"/>
    <w:rsid w:val="001950D6"/>
    <w:rsid w:val="001A3D1D"/>
    <w:rsid w:val="002034F2"/>
    <w:rsid w:val="00245F4E"/>
    <w:rsid w:val="00266030"/>
    <w:rsid w:val="0028140A"/>
    <w:rsid w:val="002B64EC"/>
    <w:rsid w:val="002C151D"/>
    <w:rsid w:val="002D4997"/>
    <w:rsid w:val="002D71E8"/>
    <w:rsid w:val="002E391C"/>
    <w:rsid w:val="002F4642"/>
    <w:rsid w:val="002F7DD7"/>
    <w:rsid w:val="00315308"/>
    <w:rsid w:val="003312D9"/>
    <w:rsid w:val="00360C4A"/>
    <w:rsid w:val="00362DCE"/>
    <w:rsid w:val="00377C28"/>
    <w:rsid w:val="003902FD"/>
    <w:rsid w:val="003A6106"/>
    <w:rsid w:val="003B643A"/>
    <w:rsid w:val="003F21D1"/>
    <w:rsid w:val="00427E8B"/>
    <w:rsid w:val="004315A0"/>
    <w:rsid w:val="00446670"/>
    <w:rsid w:val="004601B8"/>
    <w:rsid w:val="00471278"/>
    <w:rsid w:val="00477C92"/>
    <w:rsid w:val="00484BCD"/>
    <w:rsid w:val="004876D3"/>
    <w:rsid w:val="00490515"/>
    <w:rsid w:val="004968B2"/>
    <w:rsid w:val="004C3BD5"/>
    <w:rsid w:val="004D24B3"/>
    <w:rsid w:val="004F269D"/>
    <w:rsid w:val="00500B66"/>
    <w:rsid w:val="00527835"/>
    <w:rsid w:val="005341DB"/>
    <w:rsid w:val="00560BB7"/>
    <w:rsid w:val="00563EE3"/>
    <w:rsid w:val="005932A0"/>
    <w:rsid w:val="005E1EBF"/>
    <w:rsid w:val="00626EC6"/>
    <w:rsid w:val="00627880"/>
    <w:rsid w:val="006440FA"/>
    <w:rsid w:val="006A3BFC"/>
    <w:rsid w:val="006C2027"/>
    <w:rsid w:val="006E082B"/>
    <w:rsid w:val="006E470E"/>
    <w:rsid w:val="00703FB6"/>
    <w:rsid w:val="007A7F77"/>
    <w:rsid w:val="007B5D16"/>
    <w:rsid w:val="007C7F55"/>
    <w:rsid w:val="007D0ED5"/>
    <w:rsid w:val="007E7EC7"/>
    <w:rsid w:val="007F00AB"/>
    <w:rsid w:val="007F03E1"/>
    <w:rsid w:val="00801985"/>
    <w:rsid w:val="00866F54"/>
    <w:rsid w:val="00872EAB"/>
    <w:rsid w:val="0087576C"/>
    <w:rsid w:val="0088552B"/>
    <w:rsid w:val="008B5586"/>
    <w:rsid w:val="008D1B3B"/>
    <w:rsid w:val="008E67F7"/>
    <w:rsid w:val="0091423C"/>
    <w:rsid w:val="00937CD5"/>
    <w:rsid w:val="00942535"/>
    <w:rsid w:val="00973632"/>
    <w:rsid w:val="00992451"/>
    <w:rsid w:val="009937E2"/>
    <w:rsid w:val="009F6480"/>
    <w:rsid w:val="00A24CE3"/>
    <w:rsid w:val="00A66F17"/>
    <w:rsid w:val="00A85460"/>
    <w:rsid w:val="00A87BBD"/>
    <w:rsid w:val="00A92FAB"/>
    <w:rsid w:val="00A95BD9"/>
    <w:rsid w:val="00AD1DD6"/>
    <w:rsid w:val="00AE07B8"/>
    <w:rsid w:val="00AE7AFF"/>
    <w:rsid w:val="00B020CF"/>
    <w:rsid w:val="00B07FCB"/>
    <w:rsid w:val="00B23131"/>
    <w:rsid w:val="00B41CC4"/>
    <w:rsid w:val="00B54AEB"/>
    <w:rsid w:val="00B670CF"/>
    <w:rsid w:val="00B76088"/>
    <w:rsid w:val="00B81C8D"/>
    <w:rsid w:val="00B85369"/>
    <w:rsid w:val="00BA3C9F"/>
    <w:rsid w:val="00BE0812"/>
    <w:rsid w:val="00BF084A"/>
    <w:rsid w:val="00C00D08"/>
    <w:rsid w:val="00C35D0D"/>
    <w:rsid w:val="00C661F1"/>
    <w:rsid w:val="00C7077A"/>
    <w:rsid w:val="00C75791"/>
    <w:rsid w:val="00C8049E"/>
    <w:rsid w:val="00C93351"/>
    <w:rsid w:val="00CA018F"/>
    <w:rsid w:val="00CA0695"/>
    <w:rsid w:val="00CA1198"/>
    <w:rsid w:val="00CC180D"/>
    <w:rsid w:val="00CD0E3E"/>
    <w:rsid w:val="00CE062B"/>
    <w:rsid w:val="00D07362"/>
    <w:rsid w:val="00D17518"/>
    <w:rsid w:val="00D418DA"/>
    <w:rsid w:val="00D8472F"/>
    <w:rsid w:val="00D86A4D"/>
    <w:rsid w:val="00DB14BE"/>
    <w:rsid w:val="00DB3624"/>
    <w:rsid w:val="00DD2BB4"/>
    <w:rsid w:val="00DE634D"/>
    <w:rsid w:val="00DF4809"/>
    <w:rsid w:val="00E0762F"/>
    <w:rsid w:val="00E10E7A"/>
    <w:rsid w:val="00E714BB"/>
    <w:rsid w:val="00EA29D5"/>
    <w:rsid w:val="00EA56F0"/>
    <w:rsid w:val="00F1194F"/>
    <w:rsid w:val="00F27472"/>
    <w:rsid w:val="00F77B22"/>
    <w:rsid w:val="00F92874"/>
  </w:rsids>
  <m:mathPr>
    <m:mathFont m:val="Cambria Math"/>
    <m:brkBin m:val="before"/>
    <m:brkBinSub m:val="--"/>
    <m:smallFrac m:val="0"/>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F46B42"/>
  <w15:docId w15:val="{A87637A0-37F9-477B-8353-7B2FEB5B3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49E"/>
    <w:rPr>
      <w:sz w:val="24"/>
      <w:szCs w:val="24"/>
    </w:rPr>
  </w:style>
  <w:style w:type="paragraph" w:styleId="Heading1">
    <w:name w:val="heading 1"/>
    <w:basedOn w:val="Normal"/>
    <w:qFormat/>
    <w:rsid w:val="000A5B63"/>
    <w:pPr>
      <w:jc w:val="center"/>
      <w:outlineLvl w:val="0"/>
    </w:pPr>
    <w:rPr>
      <w:b/>
      <w:bCs/>
      <w:kern w:val="36"/>
    </w:rPr>
  </w:style>
  <w:style w:type="paragraph" w:styleId="Heading2">
    <w:name w:val="heading 2"/>
    <w:basedOn w:val="Normal"/>
    <w:qFormat/>
    <w:rsid w:val="000A5B63"/>
    <w:pPr>
      <w:jc w:val="both"/>
      <w:outlineLvl w:val="1"/>
    </w:pPr>
    <w:rPr>
      <w:b/>
      <w:bCs/>
      <w:sz w:val="18"/>
      <w:szCs w:val="18"/>
    </w:rPr>
  </w:style>
  <w:style w:type="paragraph" w:styleId="Heading3">
    <w:name w:val="heading 3"/>
    <w:basedOn w:val="Normal"/>
    <w:next w:val="Normal"/>
    <w:link w:val="Heading3Char"/>
    <w:semiHidden/>
    <w:unhideWhenUsed/>
    <w:qFormat/>
    <w:rsid w:val="002B64EC"/>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semiHidden/>
    <w:unhideWhenUsed/>
    <w:qFormat/>
    <w:rsid w:val="0049051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0A5B63"/>
    <w:pPr>
      <w:jc w:val="center"/>
    </w:pPr>
    <w:rPr>
      <w:sz w:val="36"/>
      <w:szCs w:val="36"/>
    </w:rPr>
  </w:style>
  <w:style w:type="paragraph" w:styleId="BodyText">
    <w:name w:val="Body Text"/>
    <w:basedOn w:val="Normal"/>
    <w:link w:val="BodyTextChar"/>
    <w:rsid w:val="000A5B63"/>
    <w:pPr>
      <w:jc w:val="both"/>
    </w:pPr>
    <w:rPr>
      <w:sz w:val="18"/>
      <w:szCs w:val="18"/>
    </w:rPr>
  </w:style>
  <w:style w:type="paragraph" w:styleId="FootnoteText">
    <w:name w:val="footnote text"/>
    <w:basedOn w:val="Normal"/>
    <w:rsid w:val="000A5B63"/>
    <w:rPr>
      <w:rFonts w:ascii="Arial" w:hAnsi="Arial" w:cs="Arial"/>
      <w:sz w:val="20"/>
      <w:szCs w:val="20"/>
    </w:rPr>
  </w:style>
  <w:style w:type="character" w:styleId="FootnoteReference">
    <w:name w:val="footnote reference"/>
    <w:basedOn w:val="DefaultParagraphFont"/>
    <w:rsid w:val="000A5B63"/>
    <w:rPr>
      <w:vertAlign w:val="superscript"/>
    </w:rPr>
  </w:style>
  <w:style w:type="paragraph" w:styleId="NormalWeb">
    <w:name w:val="Normal (Web)"/>
    <w:basedOn w:val="Normal"/>
    <w:uiPriority w:val="99"/>
    <w:rsid w:val="000A5B63"/>
    <w:pPr>
      <w:spacing w:before="100" w:beforeAutospacing="1" w:after="100" w:afterAutospacing="1"/>
    </w:pPr>
  </w:style>
  <w:style w:type="character" w:customStyle="1" w:styleId="blue1">
    <w:name w:val="blue1"/>
    <w:basedOn w:val="DefaultParagraphFont"/>
    <w:rsid w:val="000A5B63"/>
    <w:rPr>
      <w:rFonts w:ascii="Verdana" w:hAnsi="Verdana" w:hint="default"/>
      <w:b/>
      <w:bCs/>
      <w:i/>
      <w:iCs/>
      <w:color w:val="0000FF"/>
      <w:sz w:val="21"/>
      <w:szCs w:val="21"/>
    </w:rPr>
  </w:style>
  <w:style w:type="table" w:styleId="TableGrid">
    <w:name w:val="Table Grid"/>
    <w:basedOn w:val="TableNormal"/>
    <w:rsid w:val="000818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315308"/>
    <w:rPr>
      <w:color w:val="0000FF"/>
      <w:u w:val="single"/>
    </w:rPr>
  </w:style>
  <w:style w:type="paragraph" w:styleId="BalloonText">
    <w:name w:val="Balloon Text"/>
    <w:basedOn w:val="Normal"/>
    <w:link w:val="BalloonTextChar"/>
    <w:rsid w:val="003B643A"/>
    <w:rPr>
      <w:rFonts w:ascii="Tahoma" w:hAnsi="Tahoma" w:cs="Tahoma"/>
      <w:sz w:val="16"/>
      <w:szCs w:val="16"/>
    </w:rPr>
  </w:style>
  <w:style w:type="character" w:customStyle="1" w:styleId="BalloonTextChar">
    <w:name w:val="Balloon Text Char"/>
    <w:basedOn w:val="DefaultParagraphFont"/>
    <w:link w:val="BalloonText"/>
    <w:rsid w:val="003B643A"/>
    <w:rPr>
      <w:rFonts w:ascii="Tahoma" w:hAnsi="Tahoma" w:cs="Tahoma"/>
      <w:sz w:val="16"/>
      <w:szCs w:val="16"/>
    </w:rPr>
  </w:style>
  <w:style w:type="character" w:styleId="Emphasis">
    <w:name w:val="Emphasis"/>
    <w:basedOn w:val="DefaultParagraphFont"/>
    <w:uiPriority w:val="20"/>
    <w:qFormat/>
    <w:rsid w:val="00CA0695"/>
    <w:rPr>
      <w:i/>
      <w:iCs/>
    </w:rPr>
  </w:style>
  <w:style w:type="character" w:customStyle="1" w:styleId="Heading4Char">
    <w:name w:val="Heading 4 Char"/>
    <w:basedOn w:val="DefaultParagraphFont"/>
    <w:link w:val="Heading4"/>
    <w:semiHidden/>
    <w:rsid w:val="00490515"/>
    <w:rPr>
      <w:rFonts w:asciiTheme="majorHAnsi" w:eastAsiaTheme="majorEastAsia" w:hAnsiTheme="majorHAnsi" w:cstheme="majorBidi"/>
      <w:b/>
      <w:bCs/>
      <w:i/>
      <w:iCs/>
      <w:color w:val="4F81BD" w:themeColor="accent1"/>
      <w:sz w:val="24"/>
      <w:szCs w:val="24"/>
    </w:rPr>
  </w:style>
  <w:style w:type="paragraph" w:customStyle="1" w:styleId="citation1">
    <w:name w:val="citation1"/>
    <w:basedOn w:val="Normal"/>
    <w:rsid w:val="00490515"/>
    <w:pPr>
      <w:spacing w:line="480" w:lineRule="auto"/>
      <w:ind w:hanging="375"/>
    </w:pPr>
    <w:rPr>
      <w:sz w:val="18"/>
      <w:szCs w:val="18"/>
    </w:rPr>
  </w:style>
  <w:style w:type="paragraph" w:styleId="Header">
    <w:name w:val="header"/>
    <w:basedOn w:val="Normal"/>
    <w:link w:val="HeaderChar"/>
    <w:unhideWhenUsed/>
    <w:rsid w:val="00AE7AFF"/>
    <w:pPr>
      <w:tabs>
        <w:tab w:val="center" w:pos="4680"/>
        <w:tab w:val="right" w:pos="9360"/>
      </w:tabs>
    </w:pPr>
  </w:style>
  <w:style w:type="character" w:customStyle="1" w:styleId="HeaderChar">
    <w:name w:val="Header Char"/>
    <w:basedOn w:val="DefaultParagraphFont"/>
    <w:link w:val="Header"/>
    <w:rsid w:val="00AE7AFF"/>
    <w:rPr>
      <w:sz w:val="24"/>
      <w:szCs w:val="24"/>
    </w:rPr>
  </w:style>
  <w:style w:type="paragraph" w:styleId="Footer">
    <w:name w:val="footer"/>
    <w:basedOn w:val="Normal"/>
    <w:link w:val="FooterChar"/>
    <w:uiPriority w:val="99"/>
    <w:unhideWhenUsed/>
    <w:rsid w:val="00AE7AFF"/>
    <w:pPr>
      <w:tabs>
        <w:tab w:val="center" w:pos="4680"/>
        <w:tab w:val="right" w:pos="9360"/>
      </w:tabs>
    </w:pPr>
  </w:style>
  <w:style w:type="character" w:customStyle="1" w:styleId="FooterChar">
    <w:name w:val="Footer Char"/>
    <w:basedOn w:val="DefaultParagraphFont"/>
    <w:link w:val="Footer"/>
    <w:uiPriority w:val="99"/>
    <w:rsid w:val="00AE7AFF"/>
    <w:rPr>
      <w:sz w:val="24"/>
      <w:szCs w:val="24"/>
    </w:rPr>
  </w:style>
  <w:style w:type="paragraph" w:customStyle="1" w:styleId="APAReference">
    <w:name w:val="APA Reference"/>
    <w:qFormat/>
    <w:rsid w:val="00377C28"/>
    <w:pPr>
      <w:widowControl w:val="0"/>
      <w:autoSpaceDE w:val="0"/>
      <w:autoSpaceDN w:val="0"/>
      <w:adjustRightInd w:val="0"/>
      <w:spacing w:line="480" w:lineRule="auto"/>
      <w:ind w:left="720" w:hanging="720"/>
    </w:pPr>
    <w:rPr>
      <w:sz w:val="24"/>
      <w:szCs w:val="24"/>
    </w:rPr>
  </w:style>
  <w:style w:type="paragraph" w:customStyle="1" w:styleId="APALevel1">
    <w:name w:val="APA Level 1"/>
    <w:next w:val="BodyText"/>
    <w:link w:val="APALevel1Char"/>
    <w:qFormat/>
    <w:rsid w:val="0028140A"/>
    <w:pPr>
      <w:keepNext/>
      <w:keepLines/>
      <w:tabs>
        <w:tab w:val="right" w:leader="dot" w:pos="8640"/>
      </w:tabs>
      <w:suppressAutoHyphens/>
      <w:autoSpaceDE w:val="0"/>
      <w:autoSpaceDN w:val="0"/>
      <w:spacing w:line="480" w:lineRule="auto"/>
      <w:jc w:val="center"/>
      <w:outlineLvl w:val="1"/>
    </w:pPr>
    <w:rPr>
      <w:b/>
      <w:sz w:val="24"/>
      <w:szCs w:val="24"/>
    </w:rPr>
  </w:style>
  <w:style w:type="character" w:customStyle="1" w:styleId="APALevel1Char">
    <w:name w:val="APA Level 1 Char"/>
    <w:link w:val="APALevel1"/>
    <w:rsid w:val="0028140A"/>
    <w:rPr>
      <w:b/>
      <w:sz w:val="24"/>
      <w:szCs w:val="24"/>
    </w:rPr>
  </w:style>
  <w:style w:type="paragraph" w:styleId="ListParagraph">
    <w:name w:val="List Paragraph"/>
    <w:basedOn w:val="Normal"/>
    <w:qFormat/>
    <w:rsid w:val="002D71E8"/>
    <w:pPr>
      <w:spacing w:after="200" w:line="360" w:lineRule="auto"/>
      <w:ind w:left="720"/>
      <w:contextualSpacing/>
    </w:pPr>
    <w:rPr>
      <w:rFonts w:ascii="Arial" w:eastAsia="Calibri" w:hAnsi="Arial"/>
      <w:sz w:val="20"/>
      <w:szCs w:val="22"/>
    </w:rPr>
  </w:style>
  <w:style w:type="character" w:customStyle="1" w:styleId="BodyTextChar">
    <w:name w:val="Body Text Char"/>
    <w:basedOn w:val="DefaultParagraphFont"/>
    <w:link w:val="BodyText"/>
    <w:rsid w:val="00D86A4D"/>
    <w:rPr>
      <w:sz w:val="18"/>
      <w:szCs w:val="18"/>
    </w:rPr>
  </w:style>
  <w:style w:type="character" w:customStyle="1" w:styleId="Heading3Char">
    <w:name w:val="Heading 3 Char"/>
    <w:basedOn w:val="DefaultParagraphFont"/>
    <w:link w:val="Heading3"/>
    <w:semiHidden/>
    <w:rsid w:val="002B64EC"/>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18024">
      <w:bodyDiv w:val="1"/>
      <w:marLeft w:val="0"/>
      <w:marRight w:val="0"/>
      <w:marTop w:val="0"/>
      <w:marBottom w:val="0"/>
      <w:divBdr>
        <w:top w:val="none" w:sz="0" w:space="0" w:color="auto"/>
        <w:left w:val="none" w:sz="0" w:space="0" w:color="auto"/>
        <w:bottom w:val="none" w:sz="0" w:space="0" w:color="auto"/>
        <w:right w:val="none" w:sz="0" w:space="0" w:color="auto"/>
      </w:divBdr>
      <w:divsChild>
        <w:div w:id="1656907794">
          <w:marLeft w:val="0"/>
          <w:marRight w:val="0"/>
          <w:marTop w:val="0"/>
          <w:marBottom w:val="375"/>
          <w:divBdr>
            <w:top w:val="none" w:sz="0" w:space="0" w:color="auto"/>
            <w:left w:val="none" w:sz="0" w:space="0" w:color="auto"/>
            <w:bottom w:val="none" w:sz="0" w:space="0" w:color="auto"/>
            <w:right w:val="none" w:sz="0" w:space="0" w:color="auto"/>
          </w:divBdr>
          <w:divsChild>
            <w:div w:id="7949617">
              <w:marLeft w:val="4500"/>
              <w:marRight w:val="750"/>
              <w:marTop w:val="0"/>
              <w:marBottom w:val="0"/>
              <w:divBdr>
                <w:top w:val="none" w:sz="0" w:space="0" w:color="auto"/>
                <w:left w:val="none" w:sz="0" w:space="0" w:color="auto"/>
                <w:bottom w:val="none" w:sz="0" w:space="0" w:color="auto"/>
                <w:right w:val="none" w:sz="0" w:space="0" w:color="auto"/>
              </w:divBdr>
              <w:divsChild>
                <w:div w:id="2033142546">
                  <w:marLeft w:val="750"/>
                  <w:marRight w:val="0"/>
                  <w:marTop w:val="0"/>
                  <w:marBottom w:val="375"/>
                  <w:divBdr>
                    <w:top w:val="none" w:sz="0" w:space="0" w:color="auto"/>
                    <w:left w:val="none" w:sz="0" w:space="0" w:color="auto"/>
                    <w:bottom w:val="none" w:sz="0" w:space="0" w:color="auto"/>
                    <w:right w:val="none" w:sz="0" w:space="0" w:color="auto"/>
                  </w:divBdr>
                </w:div>
                <w:div w:id="242616244">
                  <w:marLeft w:val="750"/>
                  <w:marRight w:val="0"/>
                  <w:marTop w:val="0"/>
                  <w:marBottom w:val="375"/>
                  <w:divBdr>
                    <w:top w:val="none" w:sz="0" w:space="0" w:color="auto"/>
                    <w:left w:val="none" w:sz="0" w:space="0" w:color="auto"/>
                    <w:bottom w:val="none" w:sz="0" w:space="0" w:color="auto"/>
                    <w:right w:val="none" w:sz="0" w:space="0" w:color="auto"/>
                  </w:divBdr>
                </w:div>
                <w:div w:id="251546009">
                  <w:marLeft w:val="75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1229147381">
      <w:bodyDiv w:val="1"/>
      <w:marLeft w:val="0"/>
      <w:marRight w:val="0"/>
      <w:marTop w:val="0"/>
      <w:marBottom w:val="0"/>
      <w:divBdr>
        <w:top w:val="none" w:sz="0" w:space="0" w:color="auto"/>
        <w:left w:val="none" w:sz="0" w:space="0" w:color="auto"/>
        <w:bottom w:val="none" w:sz="0" w:space="0" w:color="auto"/>
        <w:right w:val="none" w:sz="0" w:space="0" w:color="auto"/>
      </w:divBdr>
    </w:div>
    <w:div w:id="1685208520">
      <w:bodyDiv w:val="1"/>
      <w:marLeft w:val="0"/>
      <w:marRight w:val="0"/>
      <w:marTop w:val="0"/>
      <w:marBottom w:val="0"/>
      <w:divBdr>
        <w:top w:val="none" w:sz="0" w:space="0" w:color="auto"/>
        <w:left w:val="none" w:sz="0" w:space="0" w:color="auto"/>
        <w:bottom w:val="none" w:sz="0" w:space="0" w:color="auto"/>
        <w:right w:val="none" w:sz="0" w:space="0" w:color="auto"/>
      </w:divBdr>
      <w:divsChild>
        <w:div w:id="1851218259">
          <w:marLeft w:val="0"/>
          <w:marRight w:val="0"/>
          <w:marTop w:val="0"/>
          <w:marBottom w:val="0"/>
          <w:divBdr>
            <w:top w:val="none" w:sz="0" w:space="0" w:color="auto"/>
            <w:left w:val="none" w:sz="0" w:space="0" w:color="auto"/>
            <w:bottom w:val="none" w:sz="0" w:space="0" w:color="auto"/>
            <w:right w:val="none" w:sz="0" w:space="0" w:color="auto"/>
          </w:divBdr>
          <w:divsChild>
            <w:div w:id="847713011">
              <w:marLeft w:val="0"/>
              <w:marRight w:val="0"/>
              <w:marTop w:val="0"/>
              <w:marBottom w:val="0"/>
              <w:divBdr>
                <w:top w:val="none" w:sz="0" w:space="0" w:color="auto"/>
                <w:left w:val="none" w:sz="0" w:space="0" w:color="auto"/>
                <w:bottom w:val="none" w:sz="0" w:space="0" w:color="auto"/>
                <w:right w:val="none" w:sz="0" w:space="0" w:color="auto"/>
              </w:divBdr>
            </w:div>
            <w:div w:id="211891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deloitte.com/us/en/insights/industry/aerospace-defense/aerospace-and-defense-industry-outlook.html?utm_source=chatgpt.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kQuik559/Winter-2025-CS-497-Capstone-Project-Proposal-Enhancing-Aerospace-Supply-Chain-Resilience.git" TargetMode="External"/><Relationship Id="rId12" Type="http://schemas.openxmlformats.org/officeDocument/2006/relationships/hyperlink" Target="https://www.deloitte.com/us/en/insights/industry/aerospace-defense/aerospace-and-defense-industry-outlook/2025.html?utm_source=chatgpt.com" TargetMode="External"/><Relationship Id="rId17" Type="http://schemas.openxmlformats.org/officeDocument/2006/relationships/hyperlink" Target="https://www.reuters.com/business/aerospace-defense/boeing-delays-suppliers-737-max-output-goal-by-6-months-sources-say-2024-09-09/%20" TargetMode="External"/><Relationship Id="rId2" Type="http://schemas.openxmlformats.org/officeDocument/2006/relationships/styles" Target="styles.xml"/><Relationship Id="rId16" Type="http://schemas.openxmlformats.org/officeDocument/2006/relationships/hyperlink" Target="https://www.ey.com/en_us/insights/aerospace-defense/how-can-digital-supply-chains-help-manage-aerospace-risk"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eloitte.com/global/en/Industries/defense-security-justice/analysis/gx-aerospace-and-defense-industry-outlook.html?utm_source=chatgpt.com" TargetMode="External"/><Relationship Id="rId5" Type="http://schemas.openxmlformats.org/officeDocument/2006/relationships/footnotes" Target="footnotes.xml"/><Relationship Id="rId15" Type="http://schemas.openxmlformats.org/officeDocument/2006/relationships/hyperlink" Target="https://leehamnews.com/2025/12/08/supply-chain-continues-to-bedevil-airbus-boeing/%20" TargetMode="External"/><Relationship Id="rId10" Type="http://schemas.openxmlformats.org/officeDocument/2006/relationships/hyperlink" Target="https://www.researchgate.net/publication/384388190_Machine_Learning_and_Deep_Learning_Models_for_Demand_Forecasting_in_Supply_Chain_Management_A_Critical_Review%20"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research.lancaster-university.uk/en/publications/geopolitical-disruptions-in-global-supply-chains-a-state-of-the-a/" TargetMode="External"/><Relationship Id="rId14" Type="http://schemas.openxmlformats.org/officeDocument/2006/relationships/hyperlink" Target="https://www.reuters.com/business/aerospace-defense/southwest-cuts-delivery-forecast-boeing-2024-03-12/%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00_Sam_Chung\OD\02%20Research\02%20Conference\CY%202017\2017-06-15%20EDSIG%202017-11-05-08\01%20Info\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template</Template>
  <TotalTime>24</TotalTime>
  <Pages>4</Pages>
  <Words>2347</Words>
  <Characters>13383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Template</vt:lpstr>
    </vt:vector>
  </TitlesOfParts>
  <Company>ISECON</Company>
  <LinksUpToDate>false</LinksUpToDate>
  <CharactersWithSpaces>15699</CharactersWithSpaces>
  <SharedDoc>false</SharedDoc>
  <HLinks>
    <vt:vector size="18" baseType="variant">
      <vt:variant>
        <vt:i4>3080207</vt:i4>
      </vt:variant>
      <vt:variant>
        <vt:i4>6</vt:i4>
      </vt:variant>
      <vt:variant>
        <vt:i4>0</vt:i4>
      </vt:variant>
      <vt:variant>
        <vt:i4>5</vt:i4>
      </vt:variant>
      <vt:variant>
        <vt:lpwstr>mailto:third@university.edu</vt:lpwstr>
      </vt:variant>
      <vt:variant>
        <vt:lpwstr/>
      </vt:variant>
      <vt:variant>
        <vt:i4>1769506</vt:i4>
      </vt:variant>
      <vt:variant>
        <vt:i4>3</vt:i4>
      </vt:variant>
      <vt:variant>
        <vt:i4>0</vt:i4>
      </vt:variant>
      <vt:variant>
        <vt:i4>5</vt:i4>
      </vt:variant>
      <vt:variant>
        <vt:lpwstr>mailto:colleague@institution.edu</vt:lpwstr>
      </vt:variant>
      <vt:variant>
        <vt:lpwstr/>
      </vt:variant>
      <vt:variant>
        <vt:i4>6750273</vt:i4>
      </vt:variant>
      <vt:variant>
        <vt:i4>0</vt:i4>
      </vt:variant>
      <vt:variant>
        <vt:i4>0</vt:i4>
      </vt:variant>
      <vt:variant>
        <vt:i4>5</vt:i4>
      </vt:variant>
      <vt:variant>
        <vt:lpwstr>mailto:author@institution.edu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dc:title>
  <dc:creator>Administrator</dc:creator>
  <cp:lastModifiedBy>Parmbir Singh</cp:lastModifiedBy>
  <cp:revision>5</cp:revision>
  <dcterms:created xsi:type="dcterms:W3CDTF">2024-02-22T23:22:00Z</dcterms:created>
  <dcterms:modified xsi:type="dcterms:W3CDTF">2026-02-18T05:39:00Z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63b86d44-6616-41c7-99dc-6f87fa75776f</vt:lpwstr>
  </property>
</Properties>
</file>