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A91E" w14:textId="6A92B1BF" w:rsidR="00AA0B98" w:rsidRDefault="009C4F28" w:rsidP="00C8049E">
      <w:pPr>
        <w:jc w:val="center"/>
        <w:rPr>
          <w:rFonts w:ascii="Verdana" w:hAnsi="Verdana"/>
          <w:sz w:val="36"/>
          <w:szCs w:val="36"/>
        </w:rPr>
      </w:pPr>
      <w:r>
        <w:rPr>
          <w:rFonts w:ascii="Verdana" w:hAnsi="Verdana"/>
          <w:sz w:val="36"/>
          <w:szCs w:val="36"/>
        </w:rPr>
        <w:t>Winter 2025</w:t>
      </w:r>
      <w:r w:rsidR="00B25E72">
        <w:rPr>
          <w:rFonts w:ascii="Verdana" w:hAnsi="Verdana"/>
          <w:sz w:val="36"/>
          <w:szCs w:val="36"/>
        </w:rPr>
        <w:t xml:space="preserve"> </w:t>
      </w:r>
      <w:r w:rsidR="00764BA2">
        <w:rPr>
          <w:rFonts w:ascii="Verdana" w:hAnsi="Verdana"/>
          <w:sz w:val="36"/>
          <w:szCs w:val="36"/>
        </w:rPr>
        <w:t>CS 497</w:t>
      </w:r>
      <w:r w:rsidR="006272A2">
        <w:rPr>
          <w:rFonts w:ascii="Verdana" w:hAnsi="Verdana"/>
          <w:sz w:val="36"/>
          <w:szCs w:val="36"/>
        </w:rPr>
        <w:t xml:space="preserve"> </w:t>
      </w:r>
      <w:r w:rsidR="009F6480" w:rsidRPr="00377C28">
        <w:rPr>
          <w:rFonts w:ascii="Verdana" w:hAnsi="Verdana"/>
          <w:sz w:val="36"/>
          <w:szCs w:val="36"/>
        </w:rPr>
        <w:t>Capstone Project</w:t>
      </w:r>
    </w:p>
    <w:p w14:paraId="2DD1CD19" w14:textId="77777777" w:rsidR="00AA0B98" w:rsidRPr="006B0CE1" w:rsidRDefault="008D1AC8" w:rsidP="00AA0B98">
      <w:pPr>
        <w:jc w:val="center"/>
        <w:rPr>
          <w:rFonts w:ascii="Verdana" w:hAnsi="Verdana"/>
          <w:sz w:val="36"/>
          <w:szCs w:val="36"/>
        </w:rPr>
      </w:pPr>
      <w:r>
        <w:rPr>
          <w:rFonts w:ascii="Verdana" w:hAnsi="Verdana"/>
          <w:sz w:val="36"/>
          <w:szCs w:val="36"/>
        </w:rPr>
        <w:t>Related Work (or Literature Review)</w:t>
      </w:r>
    </w:p>
    <w:p w14:paraId="64B612D1" w14:textId="2C1390DB" w:rsidR="00C8049E" w:rsidRPr="00377C28" w:rsidRDefault="00C8049E" w:rsidP="00C8049E">
      <w:pPr>
        <w:jc w:val="center"/>
        <w:rPr>
          <w:rFonts w:ascii="Verdana" w:hAnsi="Verdana"/>
          <w:sz w:val="36"/>
          <w:szCs w:val="36"/>
        </w:rPr>
      </w:pPr>
      <w:r w:rsidRPr="00377C28">
        <w:rPr>
          <w:rFonts w:ascii="Verdana" w:hAnsi="Verdana"/>
          <w:sz w:val="36"/>
          <w:szCs w:val="36"/>
        </w:rPr>
        <w:br/>
      </w:r>
      <w:r w:rsidR="009C4F28">
        <w:rPr>
          <w:rFonts w:ascii="Verdana" w:hAnsi="Verdana"/>
          <w:sz w:val="36"/>
          <w:szCs w:val="36"/>
        </w:rPr>
        <w:t>Enhancing Aerospace Supply Chain Resilience: A Predictive Analytics Approach to Mitigate Lead-Time Volatility</w:t>
      </w:r>
    </w:p>
    <w:p w14:paraId="37FCDADB" w14:textId="77777777" w:rsidR="00C8049E" w:rsidRPr="00377C28" w:rsidRDefault="00C8049E" w:rsidP="00C8049E">
      <w:pPr>
        <w:jc w:val="center"/>
        <w:rPr>
          <w:rFonts w:ascii="Verdana" w:hAnsi="Verdana" w:cs="Arial"/>
        </w:rPr>
      </w:pPr>
    </w:p>
    <w:p w14:paraId="7A64D1DB" w14:textId="77777777" w:rsidR="00C8049E" w:rsidRPr="00377C28" w:rsidRDefault="00C8049E" w:rsidP="00AE7AFF">
      <w:pPr>
        <w:rPr>
          <w:rFonts w:ascii="Verdana" w:hAnsi="Verdana" w:cs="Arial"/>
        </w:rPr>
      </w:pPr>
    </w:p>
    <w:p w14:paraId="08D3B7A5" w14:textId="5618A932" w:rsidR="00B25E72" w:rsidRDefault="009C4F28" w:rsidP="00B25E72">
      <w:pPr>
        <w:jc w:val="center"/>
        <w:rPr>
          <w:rFonts w:ascii="Verdana" w:hAnsi="Verdana" w:cs="Arial"/>
          <w:noProof/>
        </w:rPr>
      </w:pPr>
      <w:r>
        <w:rPr>
          <w:rFonts w:ascii="Verdana" w:hAnsi="Verdana" w:cs="Arial"/>
          <w:noProof/>
        </w:rPr>
        <w:t>Parmbir Singh</w:t>
      </w:r>
    </w:p>
    <w:p w14:paraId="3D38FCCC" w14:textId="06BF9DFC" w:rsidR="00B25E72" w:rsidRDefault="00B25E72" w:rsidP="00B25E72">
      <w:pPr>
        <w:jc w:val="center"/>
        <w:rPr>
          <w:rFonts w:ascii="Verdana" w:hAnsi="Verdana" w:cs="Arial"/>
        </w:rPr>
      </w:pPr>
      <w:r>
        <w:rPr>
          <w:rFonts w:ascii="Verdana" w:hAnsi="Verdana" w:cs="Arial"/>
          <w:noProof/>
        </w:rPr>
        <w:t xml:space="preserve">Advisor:  </w:t>
      </w:r>
      <w:r w:rsidR="009C4F28">
        <w:rPr>
          <w:rFonts w:ascii="Verdana" w:hAnsi="Verdana" w:cs="Arial"/>
          <w:noProof/>
        </w:rPr>
        <w:t>Tomas Huber</w:t>
      </w:r>
    </w:p>
    <w:p w14:paraId="4E46FF5E" w14:textId="5F5CE3E1" w:rsidR="00B25E72" w:rsidRDefault="009C4F28" w:rsidP="00B25E72">
      <w:pPr>
        <w:jc w:val="center"/>
        <w:rPr>
          <w:rFonts w:ascii="Verdana" w:hAnsi="Verdana" w:cs="Arial"/>
          <w:noProof/>
        </w:rPr>
      </w:pPr>
      <w:r>
        <w:rPr>
          <w:rFonts w:ascii="Verdana" w:hAnsi="Verdana" w:cs="Arial"/>
          <w:noProof/>
        </w:rPr>
        <w:t>B</w:t>
      </w:r>
      <w:r w:rsidR="00B25E72">
        <w:rPr>
          <w:rFonts w:ascii="Verdana" w:hAnsi="Verdana" w:cs="Arial"/>
          <w:noProof/>
        </w:rPr>
        <w:t xml:space="preserve">S in </w:t>
      </w:r>
      <w:r w:rsidR="006272A2">
        <w:rPr>
          <w:rFonts w:ascii="Verdana" w:hAnsi="Verdana" w:cs="Arial"/>
          <w:noProof/>
        </w:rPr>
        <w:t>Computer Science</w:t>
      </w:r>
      <w:r w:rsidR="00B25E72">
        <w:rPr>
          <w:rFonts w:ascii="Verdana" w:hAnsi="Verdana" w:cs="Arial"/>
          <w:noProof/>
        </w:rPr>
        <w:br/>
      </w:r>
      <w:r w:rsidR="0030720E">
        <w:rPr>
          <w:rFonts w:ascii="Verdana" w:hAnsi="Verdana" w:cs="Arial"/>
          <w:noProof/>
        </w:rPr>
        <w:t>School of Technology and Computing (STC)</w:t>
      </w:r>
    </w:p>
    <w:p w14:paraId="14BF8A26" w14:textId="77777777" w:rsidR="00B25E72" w:rsidRDefault="00B25E72" w:rsidP="00B25E72">
      <w:pPr>
        <w:jc w:val="center"/>
        <w:rPr>
          <w:rFonts w:ascii="Verdana" w:hAnsi="Verdana" w:cs="Arial"/>
          <w:noProof/>
        </w:rPr>
      </w:pPr>
      <w:r>
        <w:rPr>
          <w:rFonts w:ascii="Verdana" w:hAnsi="Verdana" w:cs="Arial"/>
          <w:noProof/>
        </w:rPr>
        <w:t>City University of Seattle</w:t>
      </w:r>
      <w:r w:rsidR="0030720E">
        <w:rPr>
          <w:rFonts w:ascii="Verdana" w:hAnsi="Verdana" w:cs="Arial"/>
          <w:noProof/>
        </w:rPr>
        <w:t xml:space="preserve"> (CityU)</w:t>
      </w:r>
    </w:p>
    <w:p w14:paraId="132394D8" w14:textId="019D56A3" w:rsidR="00B25E72" w:rsidRDefault="009C4F28" w:rsidP="009C4F28">
      <w:pPr>
        <w:jc w:val="center"/>
        <w:rPr>
          <w:rFonts w:ascii="Verdana" w:hAnsi="Verdana" w:cs="Arial"/>
          <w:noProof/>
        </w:rPr>
      </w:pPr>
      <w:r>
        <w:rPr>
          <w:rFonts w:ascii="Verdana" w:hAnsi="Verdana" w:cs="Arial"/>
          <w:noProof/>
        </w:rPr>
        <w:t>singhparmbir@cityuniversity.edu, hubertomas@cityu.edu</w:t>
      </w:r>
    </w:p>
    <w:p w14:paraId="71AD0D8D" w14:textId="77777777" w:rsidR="00C8049E" w:rsidRPr="008D1AC8" w:rsidRDefault="00C8049E" w:rsidP="008D1AC8">
      <w:pPr>
        <w:jc w:val="both"/>
        <w:rPr>
          <w:rFonts w:ascii="Verdana" w:hAnsi="Verdana" w:cs="Arial"/>
          <w:sz w:val="18"/>
          <w:szCs w:val="18"/>
        </w:rPr>
      </w:pPr>
    </w:p>
    <w:p w14:paraId="16EDD70E" w14:textId="77777777" w:rsidR="00C8049E" w:rsidRPr="008D1AC8" w:rsidRDefault="00C8049E" w:rsidP="008D1AC8">
      <w:pPr>
        <w:jc w:val="both"/>
        <w:rPr>
          <w:rFonts w:ascii="Verdana" w:hAnsi="Verdana" w:cs="Arial"/>
          <w:sz w:val="18"/>
          <w:szCs w:val="18"/>
        </w:rPr>
      </w:pPr>
    </w:p>
    <w:p w14:paraId="3D5FFF3D" w14:textId="77777777" w:rsidR="00C8049E" w:rsidRPr="008D1AC8" w:rsidRDefault="00C8049E" w:rsidP="008D1AC8">
      <w:pPr>
        <w:rPr>
          <w:rFonts w:ascii="Verdana" w:hAnsi="Verdana"/>
          <w:sz w:val="18"/>
          <w:szCs w:val="18"/>
        </w:rPr>
        <w:sectPr w:rsidR="00C8049E" w:rsidRPr="008D1AC8" w:rsidSect="003F21D1">
          <w:footerReference w:type="default" r:id="rId7"/>
          <w:pgSz w:w="12240" w:h="15840" w:code="1"/>
          <w:pgMar w:top="1440" w:right="1440" w:bottom="1440" w:left="1440" w:header="720" w:footer="720" w:gutter="0"/>
          <w:cols w:space="720"/>
          <w:docGrid w:linePitch="360"/>
        </w:sectPr>
      </w:pPr>
    </w:p>
    <w:p w14:paraId="26CFA81F" w14:textId="77777777" w:rsidR="006A4502" w:rsidRPr="00FB7271" w:rsidRDefault="003F21D1" w:rsidP="00FB7271">
      <w:pPr>
        <w:jc w:val="center"/>
        <w:rPr>
          <w:rFonts w:ascii="Verdana" w:hAnsi="Verdana" w:cs="Arial"/>
          <w:sz w:val="18"/>
          <w:szCs w:val="18"/>
        </w:rPr>
      </w:pPr>
      <w:r w:rsidRPr="008D1AC8">
        <w:rPr>
          <w:rFonts w:ascii="Verdana" w:hAnsi="Verdana" w:cs="Arial"/>
          <w:b/>
          <w:bCs/>
          <w:sz w:val="18"/>
          <w:szCs w:val="18"/>
        </w:rPr>
        <w:t>1.</w:t>
      </w:r>
      <w:r w:rsidRPr="008D1AC8">
        <w:rPr>
          <w:rFonts w:ascii="Verdana" w:hAnsi="Verdana"/>
          <w:sz w:val="18"/>
          <w:szCs w:val="18"/>
        </w:rPr>
        <w:t xml:space="preserve"> </w:t>
      </w:r>
      <w:r w:rsidR="008D1AC8" w:rsidRPr="008D1AC8">
        <w:rPr>
          <w:rFonts w:ascii="Verdana" w:hAnsi="Verdana"/>
          <w:b/>
          <w:bCs/>
          <w:sz w:val="18"/>
          <w:szCs w:val="18"/>
        </w:rPr>
        <w:t>RELATED WORK</w:t>
      </w:r>
    </w:p>
    <w:p w14:paraId="23D8417D" w14:textId="5B244D60" w:rsidR="008D1AC8" w:rsidRDefault="00656CB2" w:rsidP="008D1AC8">
      <w:pPr>
        <w:pStyle w:val="APALevel1"/>
        <w:spacing w:line="240" w:lineRule="auto"/>
        <w:jc w:val="left"/>
        <w:rPr>
          <w:rFonts w:ascii="Verdana" w:hAnsi="Verdana"/>
          <w:b w:val="0"/>
          <w:sz w:val="18"/>
          <w:szCs w:val="18"/>
        </w:rPr>
      </w:pPr>
      <w:r w:rsidRPr="00656CB2">
        <w:rPr>
          <w:rFonts w:ascii="Verdana" w:hAnsi="Verdana"/>
          <w:b w:val="0"/>
          <w:sz w:val="18"/>
          <w:szCs w:val="18"/>
        </w:rPr>
        <w:t>The aerospace manufacturing industry has experienced persistent supply chain disruptions that have exposed weaknesses in traditional, reactive planning approaches. Lead-time volatility, supplier capacity limitations, and limited visibility into multi-tier supply networks have resulted in repeated production delays for major manufacturers such as Boeing and Airbus. Recent literature from government agencies, industry analysts, and professional consulting firms examined how outdated supply chain practices contributed to operational risk and production instability. This review explored how these challenges manifested in aerospace manufacturing and how advances in predictive analytics and digital supply chain technologies presented opportunities to improve resilience.</w:t>
      </w:r>
    </w:p>
    <w:p w14:paraId="2FF7A512" w14:textId="77777777" w:rsidR="00656CB2" w:rsidRPr="00656CB2" w:rsidRDefault="00656CB2" w:rsidP="00656CB2">
      <w:pPr>
        <w:pStyle w:val="BodyText"/>
      </w:pPr>
    </w:p>
    <w:p w14:paraId="3A5523DD" w14:textId="77777777" w:rsidR="008D1AC8" w:rsidRPr="008D1AC8" w:rsidRDefault="008D1AC8" w:rsidP="008D1AC8">
      <w:pPr>
        <w:pStyle w:val="APALevel1"/>
        <w:spacing w:line="240" w:lineRule="auto"/>
        <w:jc w:val="left"/>
        <w:rPr>
          <w:rFonts w:ascii="Verdana" w:hAnsi="Verdana"/>
          <w:sz w:val="18"/>
          <w:szCs w:val="18"/>
        </w:rPr>
      </w:pPr>
      <w:r w:rsidRPr="008D1AC8">
        <w:rPr>
          <w:rFonts w:ascii="Verdana" w:hAnsi="Verdana"/>
          <w:sz w:val="18"/>
          <w:szCs w:val="18"/>
        </w:rPr>
        <w:t>Literature Review</w:t>
      </w:r>
    </w:p>
    <w:p w14:paraId="025DB571" w14:textId="77777777" w:rsidR="00656CB2" w:rsidRPr="00656CB2" w:rsidRDefault="00656CB2" w:rsidP="00656CB2">
      <w:pPr>
        <w:rPr>
          <w:rFonts w:ascii="Verdana" w:hAnsi="Verdana"/>
          <w:sz w:val="18"/>
          <w:szCs w:val="18"/>
        </w:rPr>
      </w:pPr>
      <w:r w:rsidRPr="00656CB2">
        <w:rPr>
          <w:rFonts w:ascii="Verdana" w:hAnsi="Verdana"/>
          <w:sz w:val="18"/>
          <w:szCs w:val="18"/>
        </w:rPr>
        <w:t xml:space="preserve">Several sources described the current </w:t>
      </w:r>
      <w:r w:rsidRPr="00656CB2">
        <w:rPr>
          <w:rFonts w:ascii="Verdana" w:hAnsi="Verdana"/>
          <w:i/>
          <w:iCs/>
          <w:sz w:val="18"/>
          <w:szCs w:val="18"/>
        </w:rPr>
        <w:t>as-is</w:t>
      </w:r>
      <w:r w:rsidRPr="00656CB2">
        <w:rPr>
          <w:rFonts w:ascii="Verdana" w:hAnsi="Verdana"/>
          <w:sz w:val="18"/>
          <w:szCs w:val="18"/>
        </w:rPr>
        <w:t xml:space="preserve"> state of aerospace supply chains as heavily reliant on reactive decision-making and historical delivery averages. The U.S. Government Accountability Office (2024) analyzed aviation manufacturing supply chain challenges and identified structural issues such as limited supplier visibility, component shortages, and delayed deliveries that directly impacted production schedules. The report emphasized that many aerospace manufacturers relied on reactive problem solving rather than proactive risk identification.</w:t>
      </w:r>
    </w:p>
    <w:p w14:paraId="6341B32F" w14:textId="77777777" w:rsidR="00563A79" w:rsidRDefault="00563A79" w:rsidP="00656CB2">
      <w:pPr>
        <w:rPr>
          <w:rFonts w:ascii="Verdana" w:hAnsi="Verdana"/>
          <w:sz w:val="18"/>
          <w:szCs w:val="18"/>
        </w:rPr>
      </w:pPr>
    </w:p>
    <w:p w14:paraId="74996209" w14:textId="77777777" w:rsidR="00F80883" w:rsidRDefault="00F80883" w:rsidP="00F80883">
      <w:pPr>
        <w:rPr>
          <w:rFonts w:ascii="Verdana" w:hAnsi="Verdana"/>
          <w:sz w:val="18"/>
          <w:szCs w:val="18"/>
        </w:rPr>
      </w:pPr>
      <w:r w:rsidRPr="00F80883">
        <w:rPr>
          <w:rFonts w:ascii="Verdana" w:hAnsi="Verdana"/>
          <w:sz w:val="18"/>
          <w:szCs w:val="18"/>
        </w:rPr>
        <w:t>In addition to government analysis, peer-reviewed research has examined how legacy supply chain structures contribute to operational instability. Mohammed and Mandal (2023) analyzed the impact of lead-time variability on supply chain performance and found that unpredictable delivery fluctuations significantly disrupt inventory management and production scheduling. Their findings demonstrated that reliance on historical averages and reactive planning methods amplifies systemic inefficiencies, reinforcing the argument that traditional aerospace supply chain models are not designed to manage dynamic volatility.</w:t>
      </w:r>
    </w:p>
    <w:p w14:paraId="120E19EF" w14:textId="77777777" w:rsidR="00F80883" w:rsidRPr="00F80883" w:rsidRDefault="00F80883" w:rsidP="00F80883">
      <w:pPr>
        <w:rPr>
          <w:rFonts w:ascii="Verdana" w:hAnsi="Verdana"/>
          <w:sz w:val="18"/>
          <w:szCs w:val="18"/>
        </w:rPr>
      </w:pPr>
    </w:p>
    <w:p w14:paraId="3B52D6DA" w14:textId="77777777" w:rsidR="00F80883" w:rsidRPr="00F80883" w:rsidRDefault="00F80883" w:rsidP="00F80883">
      <w:pPr>
        <w:rPr>
          <w:rFonts w:ascii="Verdana" w:hAnsi="Verdana"/>
          <w:sz w:val="18"/>
          <w:szCs w:val="18"/>
        </w:rPr>
      </w:pPr>
      <w:r w:rsidRPr="00F80883">
        <w:rPr>
          <w:rFonts w:ascii="Verdana" w:hAnsi="Verdana"/>
          <w:sz w:val="18"/>
          <w:szCs w:val="18"/>
        </w:rPr>
        <w:t>Further research has explored the complexity of multi-tier supplier risk. Santos et al. (2025) developed a framework for supplier risk assessment that highlights how disruptions propagate across interconnected supply networks. Their study emphasized that limited visibility beyond first-tier suppliers increases forecasting difficulty and compounds risk exposure. This supports the view that aerospace supply chains require structured risk modeling approaches rather than reactive coordination practices.</w:t>
      </w:r>
    </w:p>
    <w:p w14:paraId="27785F70" w14:textId="77777777" w:rsidR="00F80883" w:rsidRDefault="00F80883" w:rsidP="00656CB2">
      <w:pPr>
        <w:rPr>
          <w:rFonts w:ascii="Verdana" w:hAnsi="Verdana"/>
          <w:sz w:val="18"/>
          <w:szCs w:val="18"/>
        </w:rPr>
      </w:pPr>
    </w:p>
    <w:p w14:paraId="60066EC4" w14:textId="2631E598" w:rsidR="00656CB2" w:rsidRPr="00656CB2" w:rsidRDefault="00656CB2" w:rsidP="00656CB2">
      <w:pPr>
        <w:rPr>
          <w:rFonts w:ascii="Verdana" w:hAnsi="Verdana"/>
          <w:sz w:val="18"/>
          <w:szCs w:val="18"/>
        </w:rPr>
      </w:pPr>
      <w:r w:rsidRPr="00656CB2">
        <w:rPr>
          <w:rFonts w:ascii="Verdana" w:hAnsi="Verdana"/>
          <w:sz w:val="18"/>
          <w:szCs w:val="18"/>
        </w:rPr>
        <w:t xml:space="preserve">Industry commentary reinforced these findings with real-world examples. Hamilton (2025) described how both Boeing and Airbus continued to experience supplier-related disruptions that slowed production ramp-ups. The article highlighted delays in engines, interiors, and </w:t>
      </w:r>
      <w:r w:rsidRPr="00656CB2">
        <w:rPr>
          <w:rFonts w:ascii="Verdana" w:hAnsi="Verdana"/>
          <w:sz w:val="18"/>
          <w:szCs w:val="18"/>
        </w:rPr>
        <w:lastRenderedPageBreak/>
        <w:t>structural components that forced repeated schedule adjustments. These observations supported the GAO’s conclusion that supply network fragility remained a persistent issue.</w:t>
      </w:r>
    </w:p>
    <w:p w14:paraId="19A84D28" w14:textId="77777777" w:rsidR="00563A79" w:rsidRDefault="00563A79" w:rsidP="00656CB2">
      <w:pPr>
        <w:rPr>
          <w:rFonts w:ascii="Verdana" w:hAnsi="Verdana"/>
          <w:sz w:val="18"/>
          <w:szCs w:val="18"/>
        </w:rPr>
      </w:pPr>
    </w:p>
    <w:p w14:paraId="71D43051" w14:textId="7F206AA6" w:rsidR="00656CB2" w:rsidRDefault="00656CB2" w:rsidP="00656CB2">
      <w:pPr>
        <w:rPr>
          <w:rFonts w:ascii="Verdana" w:hAnsi="Verdana"/>
          <w:sz w:val="18"/>
          <w:szCs w:val="18"/>
        </w:rPr>
      </w:pPr>
      <w:r w:rsidRPr="00656CB2">
        <w:rPr>
          <w:rFonts w:ascii="Verdana" w:hAnsi="Verdana"/>
          <w:sz w:val="18"/>
          <w:szCs w:val="18"/>
        </w:rPr>
        <w:t xml:space="preserve">Additional evidence showed how supplier performance issues translated into measurable production impacts. Lampert (2024) reported that Boeing delayed plans to increase the 737 MAX output due to supplier capacity constraints, demonstrating how multi-tier supplier limitations affected overall manufacturing targets. Similarly, </w:t>
      </w:r>
      <w:proofErr w:type="spellStart"/>
      <w:r w:rsidRPr="00656CB2">
        <w:rPr>
          <w:rFonts w:ascii="Verdana" w:hAnsi="Verdana"/>
          <w:sz w:val="18"/>
          <w:szCs w:val="18"/>
        </w:rPr>
        <w:t>Ganapavaram</w:t>
      </w:r>
      <w:proofErr w:type="spellEnd"/>
      <w:r w:rsidRPr="00656CB2">
        <w:rPr>
          <w:rFonts w:ascii="Verdana" w:hAnsi="Verdana"/>
          <w:sz w:val="18"/>
          <w:szCs w:val="18"/>
        </w:rPr>
        <w:t xml:space="preserve"> (2024) showed how airline operators adjusted their delivery forecasts due to continued delays from Boeing, indicating that supply chain volatility affected not only manufacturing but also downstream operational planning.</w:t>
      </w:r>
    </w:p>
    <w:p w14:paraId="156AD1E5" w14:textId="77777777" w:rsidR="00CE4FE6" w:rsidRDefault="00CE4FE6" w:rsidP="00656CB2">
      <w:pPr>
        <w:rPr>
          <w:rFonts w:ascii="Verdana" w:hAnsi="Verdana"/>
          <w:sz w:val="18"/>
          <w:szCs w:val="18"/>
        </w:rPr>
      </w:pPr>
    </w:p>
    <w:p w14:paraId="130952C5" w14:textId="5F69A8DF" w:rsidR="00CE4FE6" w:rsidRDefault="00CE4FE6" w:rsidP="00656CB2">
      <w:pPr>
        <w:rPr>
          <w:rFonts w:ascii="Verdana" w:hAnsi="Verdana"/>
          <w:sz w:val="18"/>
          <w:szCs w:val="18"/>
        </w:rPr>
      </w:pPr>
      <w:r w:rsidRPr="00CE4FE6">
        <w:rPr>
          <w:rFonts w:ascii="Verdana" w:hAnsi="Verdana"/>
          <w:sz w:val="18"/>
          <w:szCs w:val="18"/>
        </w:rPr>
        <w:t>Recent macro-level analyses have quantified the financial exposure associated with global supply chain disruptions. McKinsey &amp; Company (2021) estimated that companies across industries can expect significant revenue loss from major supply chain disruptions over time, particularly when relying on reactive planning models. The report emphasized that global value chains are increasingly vulnerable to structural shocks, and organizations that fail to implement resilience strategies face compounded operational and financial risk. Although not aerospace-specific, these findings provide a broader economic context for understanding the financial implications of lead-time volatility and production instability within aerospace manufacturing.</w:t>
      </w:r>
    </w:p>
    <w:p w14:paraId="2C7A4236" w14:textId="77777777" w:rsidR="00CE4FE6" w:rsidRDefault="00CE4FE6" w:rsidP="00656CB2">
      <w:pPr>
        <w:rPr>
          <w:rFonts w:ascii="Verdana" w:hAnsi="Verdana"/>
          <w:sz w:val="18"/>
          <w:szCs w:val="18"/>
        </w:rPr>
      </w:pPr>
    </w:p>
    <w:p w14:paraId="79E45CEC" w14:textId="680F333B" w:rsidR="00CE4FE6" w:rsidRDefault="00CE4FE6" w:rsidP="00656CB2">
      <w:pPr>
        <w:rPr>
          <w:rFonts w:ascii="Verdana" w:hAnsi="Verdana"/>
          <w:sz w:val="18"/>
          <w:szCs w:val="18"/>
        </w:rPr>
      </w:pPr>
      <w:r w:rsidRPr="00CE4FE6">
        <w:rPr>
          <w:rFonts w:ascii="Verdana" w:hAnsi="Verdana"/>
          <w:sz w:val="18"/>
          <w:szCs w:val="18"/>
        </w:rPr>
        <w:t>Beyond macroeconomic exposure, industry-specific analyses have demonstrated the financial consequences of supply chain instability within aerospace manufacturing. Deloitte’s aerospace and defense industry outlook reports (2023, 2025, 2026) highlighted how production backlogs, supplier constraints, and capacity underutilization have materially affected revenue growth, cost structures, and delivery commitments across the sector. These reports emphasized that persistent supply chain bottlenecks reduce operational efficiency and increase financial exposure, particularly when organizations rely on reactive planning models rather than predictive risk assessment strategies. Collectively, these findings illustrate that lead-time volatility is not solely an operational issue but also a significant financial risk factor within aerospace manufacturing.</w:t>
      </w:r>
    </w:p>
    <w:p w14:paraId="0ED1BBAC" w14:textId="77777777" w:rsidR="00563A79" w:rsidRDefault="00563A79" w:rsidP="00656CB2">
      <w:pPr>
        <w:rPr>
          <w:rFonts w:ascii="Verdana" w:hAnsi="Verdana"/>
          <w:sz w:val="18"/>
          <w:szCs w:val="18"/>
        </w:rPr>
      </w:pPr>
    </w:p>
    <w:p w14:paraId="32F4FEB0" w14:textId="77777777" w:rsidR="00C34F46" w:rsidRPr="00C34F46" w:rsidRDefault="00C34F46" w:rsidP="00C34F46">
      <w:pPr>
        <w:rPr>
          <w:rFonts w:ascii="Verdana" w:hAnsi="Verdana"/>
          <w:sz w:val="18"/>
          <w:szCs w:val="18"/>
        </w:rPr>
      </w:pPr>
      <w:r w:rsidRPr="00C34F46">
        <w:rPr>
          <w:rFonts w:ascii="Verdana" w:hAnsi="Verdana"/>
          <w:sz w:val="18"/>
          <w:szCs w:val="18"/>
        </w:rPr>
        <w:t xml:space="preserve">Academic research has also identified geopolitical instability as a critical external driver </w:t>
      </w:r>
      <w:r w:rsidRPr="00C34F46">
        <w:rPr>
          <w:rFonts w:ascii="Verdana" w:hAnsi="Verdana"/>
          <w:sz w:val="18"/>
          <w:szCs w:val="18"/>
        </w:rPr>
        <w:t>of supply chain volatility. Bednarski et al. (2025) examined how geopolitical shocks — including trade conflicts, sanctions, and regional political instability — disrupt global supply networks and reconfigure production flows. The study emphasized that highly interconnected industries such as aerospace are particularly vulnerable to international trade tensions and cross-border logistics constraints. These findings demonstrate that aerospace supply chain instability is influenced not only by internal supplier limitations but also by broader geopolitical forces that amplify risk exposure.</w:t>
      </w:r>
    </w:p>
    <w:p w14:paraId="208E2400" w14:textId="77777777" w:rsidR="00C34F46" w:rsidRPr="00656CB2" w:rsidRDefault="00C34F46" w:rsidP="00656CB2">
      <w:pPr>
        <w:rPr>
          <w:rFonts w:ascii="Verdana" w:hAnsi="Verdana"/>
          <w:sz w:val="18"/>
          <w:szCs w:val="18"/>
        </w:rPr>
      </w:pPr>
    </w:p>
    <w:p w14:paraId="744E7F78" w14:textId="77777777" w:rsidR="00656CB2" w:rsidRDefault="00656CB2" w:rsidP="00656CB2">
      <w:pPr>
        <w:rPr>
          <w:rFonts w:ascii="Verdana" w:hAnsi="Verdana"/>
          <w:sz w:val="18"/>
          <w:szCs w:val="18"/>
        </w:rPr>
      </w:pPr>
      <w:r w:rsidRPr="00656CB2">
        <w:rPr>
          <w:rFonts w:ascii="Verdana" w:hAnsi="Verdana"/>
          <w:sz w:val="18"/>
          <w:szCs w:val="18"/>
        </w:rPr>
        <w:t xml:space="preserve">While several sources focused on the problems created by reactive supply chain practices, other sources discussed emerging solutions. Trax Technologies (2025) explained how predictive analytics and machine learning were used to analyze manufacturing, logistics, and maintenance data to support proactive inventory and supplier coordination decisions. </w:t>
      </w:r>
      <w:proofErr w:type="spellStart"/>
      <w:r w:rsidRPr="00656CB2">
        <w:rPr>
          <w:rFonts w:ascii="Verdana" w:hAnsi="Verdana"/>
          <w:sz w:val="18"/>
          <w:szCs w:val="18"/>
        </w:rPr>
        <w:t>Lagut</w:t>
      </w:r>
      <w:proofErr w:type="spellEnd"/>
      <w:r w:rsidRPr="00656CB2">
        <w:rPr>
          <w:rFonts w:ascii="Verdana" w:hAnsi="Verdana"/>
          <w:sz w:val="18"/>
          <w:szCs w:val="18"/>
        </w:rPr>
        <w:t xml:space="preserve"> et al. (2025) further described how digital supply chains, digital twins, and predictive tools helped aerospace organizations dynamically adjust production and inventory plans based on real-time data insights.</w:t>
      </w:r>
    </w:p>
    <w:p w14:paraId="49ACA0D4" w14:textId="77777777" w:rsidR="00C34F46" w:rsidRDefault="00C34F46" w:rsidP="00656CB2">
      <w:pPr>
        <w:rPr>
          <w:rFonts w:ascii="Verdana" w:hAnsi="Verdana"/>
          <w:sz w:val="18"/>
          <w:szCs w:val="18"/>
        </w:rPr>
      </w:pPr>
    </w:p>
    <w:p w14:paraId="45BCDB01" w14:textId="218E5C5A" w:rsidR="00C34F46" w:rsidRDefault="00C34F46" w:rsidP="00656CB2">
      <w:pPr>
        <w:rPr>
          <w:rFonts w:ascii="Verdana" w:hAnsi="Verdana"/>
          <w:sz w:val="18"/>
          <w:szCs w:val="18"/>
        </w:rPr>
      </w:pPr>
      <w:r w:rsidRPr="00C34F46">
        <w:rPr>
          <w:rFonts w:ascii="Verdana" w:hAnsi="Verdana"/>
          <w:sz w:val="18"/>
          <w:szCs w:val="18"/>
        </w:rPr>
        <w:t xml:space="preserve">Beyond professional industry discussions, peer-reviewed research has evaluated the technical application of machine learning and deep learning models for supply chain forecasting. </w:t>
      </w:r>
      <w:proofErr w:type="spellStart"/>
      <w:r w:rsidRPr="00C34F46">
        <w:rPr>
          <w:rFonts w:ascii="Verdana" w:hAnsi="Verdana"/>
          <w:sz w:val="18"/>
          <w:szCs w:val="18"/>
        </w:rPr>
        <w:t>Douaioui</w:t>
      </w:r>
      <w:proofErr w:type="spellEnd"/>
      <w:r w:rsidRPr="00C34F46">
        <w:rPr>
          <w:rFonts w:ascii="Verdana" w:hAnsi="Verdana"/>
          <w:sz w:val="18"/>
          <w:szCs w:val="18"/>
        </w:rPr>
        <w:t xml:space="preserve"> et al. (2024) conducted a comprehensive review of advanced forecasting models and found that machine learning approaches increasingly outperform traditional statistical methods in capturing nonlinear demand patterns and complex variability. Their analysis provides technical validation for implementing predictive modeling frameworks in supply chain risk detection and strengthens the feasibility of applying machine learning techniques within aerospace supply chain analytics.</w:t>
      </w:r>
    </w:p>
    <w:p w14:paraId="2BBD03F9" w14:textId="77777777" w:rsidR="00563A79" w:rsidRPr="00656CB2" w:rsidRDefault="00563A79" w:rsidP="00656CB2">
      <w:pPr>
        <w:rPr>
          <w:rFonts w:ascii="Verdana" w:hAnsi="Verdana"/>
          <w:sz w:val="18"/>
          <w:szCs w:val="18"/>
        </w:rPr>
      </w:pPr>
    </w:p>
    <w:p w14:paraId="6F4DABC0" w14:textId="363735E5" w:rsidR="008D1AC8" w:rsidRPr="008D1AC8" w:rsidRDefault="00656CB2" w:rsidP="008D1AC8">
      <w:pPr>
        <w:rPr>
          <w:rFonts w:ascii="Verdana" w:hAnsi="Verdana"/>
          <w:sz w:val="18"/>
          <w:szCs w:val="18"/>
        </w:rPr>
      </w:pPr>
      <w:r w:rsidRPr="00656CB2">
        <w:rPr>
          <w:rFonts w:ascii="Verdana" w:hAnsi="Verdana"/>
          <w:sz w:val="18"/>
          <w:szCs w:val="18"/>
        </w:rPr>
        <w:t>Together, these sources demonstrated a contrast between the traditional reactive supply chain model and a modern analytics-driven approach. Government and industry sources consistently identified limited visibility and delayed response as root causes of lead-time volatility, while professional technology sources highlighted how predictive analytics could transform operational data into actionable insights for earlier risk detection.</w:t>
      </w:r>
    </w:p>
    <w:p w14:paraId="11C2D61F" w14:textId="77777777" w:rsidR="006A3DD5" w:rsidRDefault="006A3DD5" w:rsidP="008D1AC8">
      <w:pPr>
        <w:pStyle w:val="APALevel1"/>
        <w:spacing w:line="240" w:lineRule="auto"/>
        <w:jc w:val="left"/>
        <w:rPr>
          <w:rFonts w:ascii="Verdana" w:hAnsi="Verdana"/>
          <w:sz w:val="18"/>
          <w:szCs w:val="18"/>
        </w:rPr>
      </w:pPr>
    </w:p>
    <w:p w14:paraId="375A8606" w14:textId="77777777" w:rsidR="00563A79" w:rsidRDefault="008D1AC8" w:rsidP="00563A79">
      <w:pPr>
        <w:pStyle w:val="APALevel1"/>
        <w:spacing w:line="240" w:lineRule="auto"/>
        <w:jc w:val="left"/>
        <w:rPr>
          <w:rFonts w:ascii="Verdana" w:hAnsi="Verdana"/>
          <w:sz w:val="18"/>
          <w:szCs w:val="18"/>
        </w:rPr>
      </w:pPr>
      <w:r>
        <w:rPr>
          <w:rFonts w:ascii="Verdana" w:hAnsi="Verdana"/>
          <w:sz w:val="18"/>
          <w:szCs w:val="18"/>
        </w:rPr>
        <w:t xml:space="preserve">Review </w:t>
      </w:r>
      <w:r w:rsidRPr="008D1AC8">
        <w:rPr>
          <w:rFonts w:ascii="Verdana" w:hAnsi="Verdana"/>
          <w:sz w:val="18"/>
          <w:szCs w:val="18"/>
        </w:rPr>
        <w:t>Conclusions</w:t>
      </w:r>
    </w:p>
    <w:p w14:paraId="0BC5211A" w14:textId="3C523EED" w:rsidR="00656CB2" w:rsidRPr="00563A79" w:rsidRDefault="00A14C4F" w:rsidP="00563A79">
      <w:pPr>
        <w:pStyle w:val="APALevel1"/>
        <w:spacing w:line="240" w:lineRule="auto"/>
        <w:jc w:val="left"/>
        <w:rPr>
          <w:rFonts w:ascii="Verdana" w:hAnsi="Verdana"/>
          <w:b w:val="0"/>
          <w:bCs/>
          <w:sz w:val="18"/>
          <w:szCs w:val="18"/>
        </w:rPr>
      </w:pPr>
      <w:r w:rsidRPr="00A14C4F">
        <w:rPr>
          <w:rFonts w:ascii="Verdana" w:hAnsi="Verdana"/>
          <w:b w:val="0"/>
          <w:bCs/>
          <w:sz w:val="18"/>
          <w:szCs w:val="18"/>
        </w:rPr>
        <w:t>The literature collectively demonstrates that aerospace supply chain instability stems from interconnected structural, operational, financial, and geopolitical factors. Government and industry analyses documented persistent production delays, limited supplier visibility, and capacity constraints resulting from reactive planning practices. Peer-reviewed research further showed how lead-time variability and multi-tier supplier risk propagate instability across complex supply networks. Financial studies highlighted the economic consequences of disruption, revealing that supply chain volatility increases revenue exposure and operational cost pressures. Additionally, geopolitical research emphasized that global trade tensions and regional instability amplify external risk factors beyond internal supplier performance. Together, these findings reveal a clear structural gap between traditional reactive supply chain management and the growing need for proactive, analytics-driven forecasting models. Advances in predictive analytics and machine learning provide a technically validated pathway for improving risk detection, enhancing resilience, and supporting more informed decision-making within aerospace manufacturing systems.</w:t>
      </w:r>
    </w:p>
    <w:p w14:paraId="7836B61B" w14:textId="34BE8370" w:rsidR="008D1AC8" w:rsidRPr="00AF369E" w:rsidRDefault="008D1AC8" w:rsidP="008D1AC8">
      <w:pPr>
        <w:spacing w:before="240"/>
        <w:jc w:val="center"/>
        <w:rPr>
          <w:rFonts w:ascii="Verdana" w:hAnsi="Verdana" w:cs="Arial"/>
          <w:sz w:val="18"/>
          <w:szCs w:val="18"/>
        </w:rPr>
      </w:pPr>
      <w:r>
        <w:rPr>
          <w:rFonts w:ascii="Verdana" w:hAnsi="Verdana" w:cs="Arial"/>
          <w:b/>
          <w:bCs/>
          <w:sz w:val="18"/>
          <w:szCs w:val="18"/>
        </w:rPr>
        <w:t>2</w:t>
      </w:r>
      <w:r w:rsidRPr="00AF369E">
        <w:rPr>
          <w:rFonts w:ascii="Verdana" w:hAnsi="Verdana" w:cs="Arial"/>
          <w:b/>
          <w:bCs/>
          <w:sz w:val="18"/>
          <w:szCs w:val="18"/>
        </w:rPr>
        <w:t>.</w:t>
      </w:r>
      <w:r w:rsidRPr="00AF369E">
        <w:rPr>
          <w:rFonts w:ascii="Verdana" w:hAnsi="Verdana"/>
          <w:sz w:val="18"/>
          <w:szCs w:val="18"/>
        </w:rPr>
        <w:t xml:space="preserve"> </w:t>
      </w:r>
      <w:r w:rsidR="002929CE">
        <w:rPr>
          <w:rFonts w:ascii="Verdana" w:hAnsi="Verdana"/>
          <w:b/>
          <w:bCs/>
          <w:sz w:val="18"/>
          <w:szCs w:val="18"/>
        </w:rPr>
        <w:t>REFERENCE</w:t>
      </w:r>
    </w:p>
    <w:p w14:paraId="0F5FDABC" w14:textId="490E0445" w:rsidR="00C34F46" w:rsidRDefault="00C34F46" w:rsidP="00C34F46">
      <w:pPr>
        <w:spacing w:before="120"/>
        <w:ind w:left="360" w:hanging="360"/>
        <w:jc w:val="both"/>
        <w:rPr>
          <w:rFonts w:ascii="Verdana" w:hAnsi="Verdana"/>
          <w:sz w:val="18"/>
          <w:szCs w:val="18"/>
        </w:rPr>
      </w:pPr>
      <w:r w:rsidRPr="00C34F46">
        <w:rPr>
          <w:rFonts w:ascii="Verdana" w:hAnsi="Verdana"/>
          <w:sz w:val="18"/>
          <w:szCs w:val="18"/>
        </w:rPr>
        <w:t xml:space="preserve">Bednarski, L., Roscoe, S., Blome, C., &amp; Schleper, M. C. (2023). Geopolitical disruptions in global supply chains: a state-of-the-art literature review. </w:t>
      </w:r>
      <w:r w:rsidRPr="00C34F46">
        <w:rPr>
          <w:rFonts w:ascii="Verdana" w:hAnsi="Verdana"/>
          <w:i/>
          <w:iCs/>
          <w:sz w:val="18"/>
          <w:szCs w:val="18"/>
        </w:rPr>
        <w:t>Production Planning &amp; Control</w:t>
      </w:r>
      <w:r w:rsidRPr="00C34F46">
        <w:rPr>
          <w:rFonts w:ascii="Verdana" w:hAnsi="Verdana"/>
          <w:sz w:val="18"/>
          <w:szCs w:val="18"/>
        </w:rPr>
        <w:t xml:space="preserve">, 1–27. </w:t>
      </w:r>
      <w:hyperlink r:id="rId8" w:history="1">
        <w:r w:rsidRPr="00C34F46">
          <w:rPr>
            <w:rStyle w:val="Hyperlink"/>
            <w:rFonts w:ascii="Verdana" w:hAnsi="Verdana"/>
            <w:sz w:val="18"/>
            <w:szCs w:val="18"/>
          </w:rPr>
          <w:t>https://research.lancaster-university.uk/en/publications/geopolitical-disruptions-in-global-supply-chains-a-state-of-the-a/</w:t>
        </w:r>
      </w:hyperlink>
    </w:p>
    <w:p w14:paraId="190F9D15" w14:textId="5C3F9C66" w:rsidR="00CE4FE6" w:rsidRDefault="00CE4FE6" w:rsidP="00563A79">
      <w:pPr>
        <w:spacing w:before="120"/>
        <w:ind w:left="360" w:hanging="360"/>
        <w:jc w:val="both"/>
        <w:rPr>
          <w:rFonts w:ascii="Verdana" w:hAnsi="Verdana"/>
          <w:sz w:val="18"/>
          <w:szCs w:val="18"/>
        </w:rPr>
      </w:pPr>
      <w:r w:rsidRPr="00CE4FE6">
        <w:rPr>
          <w:rFonts w:ascii="Verdana" w:hAnsi="Verdana"/>
          <w:sz w:val="18"/>
          <w:szCs w:val="18"/>
        </w:rPr>
        <w:t xml:space="preserve">Deloitte. (2023). </w:t>
      </w:r>
      <w:r w:rsidRPr="00CE4FE6">
        <w:rPr>
          <w:rFonts w:ascii="Verdana" w:hAnsi="Verdana"/>
          <w:i/>
          <w:iCs/>
          <w:sz w:val="18"/>
          <w:szCs w:val="18"/>
        </w:rPr>
        <w:t>2023 aerospace and defense industry outlook.</w:t>
      </w:r>
      <w:r w:rsidRPr="00CE4FE6">
        <w:rPr>
          <w:rFonts w:ascii="Verdana" w:hAnsi="Verdana"/>
          <w:sz w:val="18"/>
          <w:szCs w:val="18"/>
        </w:rPr>
        <w:t xml:space="preserve"> Deloitte Insights. </w:t>
      </w:r>
      <w:hyperlink r:id="rId9" w:tgtFrame="_new" w:history="1">
        <w:r w:rsidRPr="00CE4FE6">
          <w:rPr>
            <w:rStyle w:val="Hyperlink"/>
            <w:rFonts w:ascii="Verdana" w:hAnsi="Verdana"/>
            <w:sz w:val="18"/>
            <w:szCs w:val="18"/>
          </w:rPr>
          <w:t>https://www.deloitte.com/global/en/Industries/defense-security-justice/analysis/gx-aerospace-and-defense-industry-outlook.html</w:t>
        </w:r>
      </w:hyperlink>
    </w:p>
    <w:p w14:paraId="5D5E2A35" w14:textId="77777777" w:rsidR="00CE4FE6" w:rsidRPr="00CE4FE6" w:rsidRDefault="00CE4FE6" w:rsidP="00CE4FE6">
      <w:pPr>
        <w:spacing w:before="120"/>
        <w:ind w:left="360" w:hanging="360"/>
        <w:jc w:val="both"/>
        <w:rPr>
          <w:rFonts w:ascii="Verdana" w:hAnsi="Verdana"/>
          <w:sz w:val="18"/>
          <w:szCs w:val="18"/>
        </w:rPr>
      </w:pPr>
      <w:r w:rsidRPr="00CE4FE6">
        <w:rPr>
          <w:rFonts w:ascii="Verdana" w:hAnsi="Verdana"/>
          <w:sz w:val="18"/>
          <w:szCs w:val="18"/>
        </w:rPr>
        <w:t xml:space="preserve">Deloitte. (2025). </w:t>
      </w:r>
      <w:r w:rsidRPr="00CE4FE6">
        <w:rPr>
          <w:rFonts w:ascii="Verdana" w:hAnsi="Verdana"/>
          <w:i/>
          <w:iCs/>
          <w:sz w:val="18"/>
          <w:szCs w:val="18"/>
        </w:rPr>
        <w:t>2025 aerospace and defense industry outlook.</w:t>
      </w:r>
      <w:r w:rsidRPr="00CE4FE6">
        <w:rPr>
          <w:rFonts w:ascii="Verdana" w:hAnsi="Verdana"/>
          <w:sz w:val="18"/>
          <w:szCs w:val="18"/>
        </w:rPr>
        <w:t xml:space="preserve"> Deloitte Insights. </w:t>
      </w:r>
      <w:hyperlink r:id="rId10" w:tgtFrame="_new" w:history="1">
        <w:r w:rsidRPr="00CE4FE6">
          <w:rPr>
            <w:rStyle w:val="Hyperlink"/>
            <w:rFonts w:ascii="Verdana" w:hAnsi="Verdana"/>
            <w:sz w:val="18"/>
            <w:szCs w:val="18"/>
          </w:rPr>
          <w:t>https://www.deloitte.com/us/en/insights/industry/aerospace-defense/aerospace-and-defense-industry-outlook/2025.html</w:t>
        </w:r>
      </w:hyperlink>
    </w:p>
    <w:p w14:paraId="2E23D98E" w14:textId="20CD5A2A" w:rsidR="00CE4FE6" w:rsidRDefault="00CE4FE6" w:rsidP="00563A79">
      <w:pPr>
        <w:spacing w:before="120"/>
        <w:ind w:left="360" w:hanging="360"/>
        <w:jc w:val="both"/>
        <w:rPr>
          <w:rFonts w:ascii="Verdana" w:hAnsi="Verdana"/>
          <w:sz w:val="18"/>
          <w:szCs w:val="18"/>
        </w:rPr>
      </w:pPr>
      <w:r w:rsidRPr="00CE4FE6">
        <w:rPr>
          <w:rFonts w:ascii="Verdana" w:hAnsi="Verdana"/>
          <w:sz w:val="18"/>
          <w:szCs w:val="18"/>
        </w:rPr>
        <w:t xml:space="preserve">Deloitte. (2026). </w:t>
      </w:r>
      <w:r w:rsidRPr="00CE4FE6">
        <w:rPr>
          <w:rFonts w:ascii="Verdana" w:hAnsi="Verdana"/>
          <w:i/>
          <w:iCs/>
          <w:sz w:val="18"/>
          <w:szCs w:val="18"/>
        </w:rPr>
        <w:t>2026 aerospace and defense industry outlook.</w:t>
      </w:r>
      <w:r w:rsidRPr="00CE4FE6">
        <w:rPr>
          <w:rFonts w:ascii="Verdana" w:hAnsi="Verdana"/>
          <w:sz w:val="18"/>
          <w:szCs w:val="18"/>
        </w:rPr>
        <w:t xml:space="preserve"> Deloitte Insights. </w:t>
      </w:r>
      <w:hyperlink r:id="rId11" w:tgtFrame="_new" w:history="1">
        <w:r w:rsidRPr="00CE4FE6">
          <w:rPr>
            <w:rStyle w:val="Hyperlink"/>
            <w:rFonts w:ascii="Verdana" w:hAnsi="Verdana"/>
            <w:sz w:val="18"/>
            <w:szCs w:val="18"/>
          </w:rPr>
          <w:t>https://www.deloitte.com/us/en/insights/industry/aerospace-defense/aerospace-and-defense-industry-outlook.html</w:t>
        </w:r>
      </w:hyperlink>
    </w:p>
    <w:p w14:paraId="31FF2B1F" w14:textId="6E20ABD5" w:rsidR="00815142" w:rsidRDefault="00815142" w:rsidP="006A6254">
      <w:pPr>
        <w:spacing w:before="120"/>
        <w:ind w:left="360" w:hanging="360"/>
        <w:jc w:val="both"/>
        <w:rPr>
          <w:rFonts w:ascii="Verdana" w:hAnsi="Verdana"/>
          <w:sz w:val="18"/>
          <w:szCs w:val="18"/>
        </w:rPr>
      </w:pPr>
      <w:r w:rsidRPr="00815142">
        <w:rPr>
          <w:rFonts w:ascii="Verdana" w:hAnsi="Verdana"/>
          <w:sz w:val="18"/>
          <w:szCs w:val="18"/>
        </w:rPr>
        <w:t xml:space="preserve">Douaioui, K. (2024, September). </w:t>
      </w:r>
      <w:r w:rsidRPr="00815142">
        <w:rPr>
          <w:rFonts w:ascii="Verdana" w:hAnsi="Verdana"/>
          <w:i/>
          <w:iCs/>
          <w:sz w:val="18"/>
          <w:szCs w:val="18"/>
        </w:rPr>
        <w:t>Machine Learning and Deep Learning Models for Demand Forecasting in Supply Chain Management: A Critical Review</w:t>
      </w:r>
      <w:r w:rsidRPr="00815142">
        <w:rPr>
          <w:rFonts w:ascii="Verdana" w:hAnsi="Verdana"/>
          <w:sz w:val="18"/>
          <w:szCs w:val="18"/>
        </w:rPr>
        <w:t xml:space="preserve">. ResearchGate. </w:t>
      </w:r>
      <w:hyperlink r:id="rId12" w:history="1">
        <w:r w:rsidRPr="00815142">
          <w:rPr>
            <w:rStyle w:val="Hyperlink"/>
            <w:rFonts w:ascii="Verdana" w:hAnsi="Verdana"/>
            <w:sz w:val="18"/>
            <w:szCs w:val="18"/>
          </w:rPr>
          <w:t>https://www.researchgate.net/publication/384388190_Machine_Learning_and_Deep_Learning_Models_for_Demand_Forecasting_in_Supply_Chain_Management_A_Critical_Review</w:t>
        </w:r>
      </w:hyperlink>
      <w:r w:rsidRPr="00815142">
        <w:rPr>
          <w:rFonts w:ascii="Verdana" w:hAnsi="Verdana"/>
          <w:sz w:val="18"/>
          <w:szCs w:val="18"/>
        </w:rPr>
        <w:t xml:space="preserve"> </w:t>
      </w:r>
    </w:p>
    <w:p w14:paraId="7B1BAACC" w14:textId="1039EB96" w:rsidR="00563A79" w:rsidRPr="009C5587" w:rsidRDefault="00563A79" w:rsidP="00563A79">
      <w:pPr>
        <w:spacing w:before="120"/>
        <w:ind w:left="360" w:hanging="360"/>
        <w:jc w:val="both"/>
        <w:rPr>
          <w:rFonts w:ascii="Verdana" w:hAnsi="Verdana"/>
          <w:sz w:val="18"/>
          <w:szCs w:val="18"/>
        </w:rPr>
      </w:pPr>
      <w:proofErr w:type="spellStart"/>
      <w:r w:rsidRPr="009C5587">
        <w:rPr>
          <w:rFonts w:ascii="Verdana" w:hAnsi="Verdana"/>
          <w:sz w:val="18"/>
          <w:szCs w:val="18"/>
        </w:rPr>
        <w:t>Ganapavaram</w:t>
      </w:r>
      <w:proofErr w:type="spellEnd"/>
      <w:r w:rsidRPr="009C5587">
        <w:rPr>
          <w:rFonts w:ascii="Verdana" w:hAnsi="Verdana"/>
          <w:sz w:val="18"/>
          <w:szCs w:val="18"/>
        </w:rPr>
        <w:t xml:space="preserve">, A. (2024, March 12). </w:t>
      </w:r>
      <w:r w:rsidRPr="009C5587">
        <w:rPr>
          <w:rFonts w:ascii="Verdana" w:hAnsi="Verdana"/>
          <w:i/>
          <w:iCs/>
          <w:sz w:val="18"/>
          <w:szCs w:val="18"/>
        </w:rPr>
        <w:t xml:space="preserve">US airlines warn of more Boeing delivery delays due to safety crisis | </w:t>
      </w:r>
      <w:proofErr w:type="spellStart"/>
      <w:r w:rsidRPr="009C5587">
        <w:rPr>
          <w:rFonts w:ascii="Verdana" w:hAnsi="Verdana"/>
          <w:i/>
          <w:iCs/>
          <w:sz w:val="18"/>
          <w:szCs w:val="18"/>
        </w:rPr>
        <w:t>reuters</w:t>
      </w:r>
      <w:proofErr w:type="spellEnd"/>
      <w:r w:rsidRPr="009C5587">
        <w:rPr>
          <w:rFonts w:ascii="Verdana" w:hAnsi="Verdana"/>
          <w:sz w:val="18"/>
          <w:szCs w:val="18"/>
        </w:rPr>
        <w:t xml:space="preserve">. Reuters. </w:t>
      </w:r>
      <w:hyperlink r:id="rId13" w:history="1">
        <w:r w:rsidRPr="00563A79">
          <w:rPr>
            <w:rStyle w:val="Hyperlink"/>
            <w:rFonts w:ascii="Verdana" w:hAnsi="Verdana"/>
            <w:sz w:val="18"/>
            <w:szCs w:val="18"/>
          </w:rPr>
          <w:t>https://www.reuters.com/business/aerospace-defense/southwest-cuts-delivery-forecast-boeing-2024-03-12/</w:t>
        </w:r>
      </w:hyperlink>
      <w:r w:rsidRPr="009C5587">
        <w:rPr>
          <w:rFonts w:ascii="Verdana" w:hAnsi="Verdana"/>
          <w:sz w:val="18"/>
          <w:szCs w:val="18"/>
        </w:rPr>
        <w:t xml:space="preserve"> </w:t>
      </w:r>
    </w:p>
    <w:p w14:paraId="68D9B634" w14:textId="363D4941" w:rsidR="00563A79" w:rsidRPr="00F74517" w:rsidRDefault="00563A79" w:rsidP="00563A79">
      <w:pPr>
        <w:spacing w:before="120"/>
        <w:ind w:left="360" w:hanging="360"/>
        <w:jc w:val="both"/>
        <w:rPr>
          <w:rFonts w:ascii="Verdana" w:hAnsi="Verdana"/>
          <w:sz w:val="18"/>
          <w:szCs w:val="18"/>
        </w:rPr>
      </w:pPr>
      <w:r w:rsidRPr="00F74517">
        <w:rPr>
          <w:rFonts w:ascii="Verdana" w:hAnsi="Verdana"/>
          <w:sz w:val="18"/>
          <w:szCs w:val="18"/>
        </w:rPr>
        <w:t xml:space="preserve">Hamilton, S. (2025, December 8). </w:t>
      </w:r>
      <w:r w:rsidRPr="00F74517">
        <w:rPr>
          <w:rFonts w:ascii="Verdana" w:hAnsi="Verdana"/>
          <w:i/>
          <w:iCs/>
          <w:sz w:val="18"/>
          <w:szCs w:val="18"/>
        </w:rPr>
        <w:t>Supply chain continues to Bedevil Airbus, Boeing</w:t>
      </w:r>
      <w:r w:rsidRPr="00F74517">
        <w:rPr>
          <w:rFonts w:ascii="Verdana" w:hAnsi="Verdana"/>
          <w:sz w:val="18"/>
          <w:szCs w:val="18"/>
        </w:rPr>
        <w:t xml:space="preserve">. Leeham News and Analysis. </w:t>
      </w:r>
      <w:hyperlink r:id="rId14" w:history="1">
        <w:r w:rsidRPr="00563A79">
          <w:rPr>
            <w:rStyle w:val="Hyperlink"/>
            <w:rFonts w:ascii="Verdana" w:hAnsi="Verdana"/>
            <w:sz w:val="18"/>
            <w:szCs w:val="18"/>
          </w:rPr>
          <w:t>https://leehamnews.com/2025/12/08/supply-chain-continues-to-bedevil-airbus-boeing/</w:t>
        </w:r>
      </w:hyperlink>
      <w:r w:rsidRPr="00F74517">
        <w:rPr>
          <w:rFonts w:ascii="Verdana" w:hAnsi="Verdana"/>
          <w:sz w:val="18"/>
          <w:szCs w:val="18"/>
        </w:rPr>
        <w:t xml:space="preserve"> </w:t>
      </w:r>
    </w:p>
    <w:p w14:paraId="7497D402" w14:textId="3E4D0D21" w:rsidR="00563A79" w:rsidRPr="00AF369E" w:rsidRDefault="00563A79" w:rsidP="00563A79">
      <w:pPr>
        <w:spacing w:before="120"/>
        <w:ind w:left="360" w:hanging="360"/>
        <w:jc w:val="both"/>
        <w:rPr>
          <w:rFonts w:ascii="Verdana" w:hAnsi="Verdana"/>
          <w:sz w:val="18"/>
          <w:szCs w:val="18"/>
        </w:rPr>
      </w:pPr>
      <w:proofErr w:type="spellStart"/>
      <w:r w:rsidRPr="00C21962">
        <w:rPr>
          <w:rFonts w:ascii="Verdana" w:hAnsi="Verdana"/>
          <w:sz w:val="18"/>
          <w:szCs w:val="18"/>
        </w:rPr>
        <w:t>Lagut</w:t>
      </w:r>
      <w:proofErr w:type="spellEnd"/>
      <w:r w:rsidRPr="00C21962">
        <w:rPr>
          <w:rFonts w:ascii="Verdana" w:hAnsi="Verdana"/>
          <w:sz w:val="18"/>
          <w:szCs w:val="18"/>
        </w:rPr>
        <w:t xml:space="preserve">, S., Ram, R., Compton, N., &amp; </w:t>
      </w:r>
      <w:proofErr w:type="spellStart"/>
      <w:r w:rsidRPr="00C21962">
        <w:rPr>
          <w:rFonts w:ascii="Verdana" w:hAnsi="Verdana"/>
          <w:sz w:val="18"/>
          <w:szCs w:val="18"/>
        </w:rPr>
        <w:t>Cadenazzi</w:t>
      </w:r>
      <w:proofErr w:type="spellEnd"/>
      <w:r w:rsidRPr="00C21962">
        <w:rPr>
          <w:rFonts w:ascii="Verdana" w:hAnsi="Verdana"/>
          <w:sz w:val="18"/>
          <w:szCs w:val="18"/>
        </w:rPr>
        <w:t xml:space="preserve">, M. (2025, July 10). </w:t>
      </w:r>
      <w:r w:rsidRPr="00C21962">
        <w:rPr>
          <w:rFonts w:ascii="Verdana" w:hAnsi="Verdana"/>
          <w:i/>
          <w:iCs/>
          <w:sz w:val="18"/>
          <w:szCs w:val="18"/>
        </w:rPr>
        <w:t>How can digital supply chains help manage aerospace risk?</w:t>
      </w:r>
      <w:r w:rsidRPr="00C21962">
        <w:rPr>
          <w:rFonts w:ascii="Verdana" w:hAnsi="Verdana"/>
          <w:sz w:val="18"/>
          <w:szCs w:val="18"/>
        </w:rPr>
        <w:t xml:space="preserve"> </w:t>
      </w:r>
      <w:hyperlink r:id="rId15" w:history="1">
        <w:r w:rsidRPr="00563A79">
          <w:rPr>
            <w:rStyle w:val="Hyperlink"/>
            <w:rFonts w:ascii="Verdana" w:hAnsi="Verdana"/>
            <w:sz w:val="18"/>
            <w:szCs w:val="18"/>
          </w:rPr>
          <w:t>https://www.ey.com/en_us/insights/aerospace-defense/how-can-digital-supply-chains-help-manage-aerospace-risk</w:t>
        </w:r>
      </w:hyperlink>
    </w:p>
    <w:p w14:paraId="7FECA971" w14:textId="02D09E43" w:rsidR="00563A79" w:rsidRDefault="00563A79" w:rsidP="00563A79">
      <w:pPr>
        <w:spacing w:before="120"/>
        <w:ind w:left="360" w:hanging="360"/>
        <w:jc w:val="both"/>
        <w:rPr>
          <w:rFonts w:ascii="Verdana" w:hAnsi="Verdana"/>
          <w:sz w:val="18"/>
          <w:szCs w:val="18"/>
        </w:rPr>
      </w:pPr>
      <w:r w:rsidRPr="00F71516">
        <w:rPr>
          <w:rFonts w:ascii="Verdana" w:hAnsi="Verdana"/>
          <w:sz w:val="18"/>
          <w:szCs w:val="18"/>
        </w:rPr>
        <w:t xml:space="preserve">Lampert, A. (2024, September 10). </w:t>
      </w:r>
      <w:r w:rsidRPr="00F71516">
        <w:rPr>
          <w:rFonts w:ascii="Verdana" w:hAnsi="Verdana"/>
          <w:i/>
          <w:iCs/>
          <w:sz w:val="18"/>
          <w:szCs w:val="18"/>
        </w:rPr>
        <w:t>Exclusive: Boeing delays suppliers’ 737 MAX output goal by 6 months, sources say | Reuters</w:t>
      </w:r>
      <w:r w:rsidRPr="00F71516">
        <w:rPr>
          <w:rFonts w:ascii="Verdana" w:hAnsi="Verdana"/>
          <w:sz w:val="18"/>
          <w:szCs w:val="18"/>
        </w:rPr>
        <w:t xml:space="preserve">. Reuters. </w:t>
      </w:r>
      <w:hyperlink r:id="rId16" w:history="1">
        <w:r w:rsidRPr="00563A79">
          <w:rPr>
            <w:rStyle w:val="Hyperlink"/>
            <w:rFonts w:ascii="Verdana" w:hAnsi="Verdana"/>
            <w:sz w:val="18"/>
            <w:szCs w:val="18"/>
          </w:rPr>
          <w:t>https://www.reuters.com/business/aerospace-defense/boeing-delays-suppliers-737-max-output-goal-by-6-months-sources-say-2024-09-09/</w:t>
        </w:r>
      </w:hyperlink>
      <w:r w:rsidRPr="00F71516">
        <w:rPr>
          <w:rFonts w:ascii="Verdana" w:hAnsi="Verdana"/>
          <w:sz w:val="18"/>
          <w:szCs w:val="18"/>
        </w:rPr>
        <w:t xml:space="preserve"> </w:t>
      </w:r>
    </w:p>
    <w:p w14:paraId="3FE8AA57" w14:textId="7CBB5E88" w:rsidR="00CE4FE6" w:rsidRDefault="00CE4FE6" w:rsidP="00563A79">
      <w:pPr>
        <w:spacing w:before="120"/>
        <w:ind w:left="360" w:hanging="360"/>
        <w:jc w:val="both"/>
        <w:rPr>
          <w:rFonts w:ascii="Verdana" w:hAnsi="Verdana"/>
          <w:sz w:val="18"/>
          <w:szCs w:val="18"/>
        </w:rPr>
      </w:pPr>
      <w:r w:rsidRPr="00CE4FE6">
        <w:rPr>
          <w:rFonts w:ascii="Verdana" w:hAnsi="Verdana"/>
          <w:sz w:val="18"/>
          <w:szCs w:val="18"/>
        </w:rPr>
        <w:t xml:space="preserve">McKinsey &amp; Company. (2021). </w:t>
      </w:r>
      <w:r w:rsidRPr="00CE4FE6">
        <w:rPr>
          <w:rFonts w:ascii="Verdana" w:hAnsi="Verdana"/>
          <w:i/>
          <w:iCs/>
          <w:sz w:val="18"/>
          <w:szCs w:val="18"/>
        </w:rPr>
        <w:t>Risk, resilience, and rebalancing in global value chains.</w:t>
      </w:r>
      <w:r w:rsidRPr="00CE4FE6">
        <w:rPr>
          <w:rFonts w:ascii="Verdana" w:hAnsi="Verdana"/>
          <w:sz w:val="18"/>
          <w:szCs w:val="18"/>
        </w:rPr>
        <w:t xml:space="preserve"> </w:t>
      </w:r>
      <w:hyperlink r:id="rId17" w:tgtFrame="_new" w:history="1">
        <w:r w:rsidRPr="00CE4FE6">
          <w:rPr>
            <w:rStyle w:val="Hyperlink"/>
            <w:rFonts w:ascii="Verdana" w:hAnsi="Verdana"/>
            <w:sz w:val="18"/>
            <w:szCs w:val="18"/>
          </w:rPr>
          <w:t>https://www.mckinsey.com/industries/operations/our-insights/risk-resilience-and-rebalancing-in-global-value-chains</w:t>
        </w:r>
      </w:hyperlink>
    </w:p>
    <w:p w14:paraId="508EB954" w14:textId="718FFCEE" w:rsidR="00F80883" w:rsidRDefault="00F80883" w:rsidP="00563A79">
      <w:pPr>
        <w:spacing w:before="120"/>
        <w:ind w:left="360" w:hanging="360"/>
        <w:jc w:val="both"/>
        <w:rPr>
          <w:rFonts w:ascii="Verdana" w:hAnsi="Verdana"/>
          <w:sz w:val="18"/>
          <w:szCs w:val="18"/>
        </w:rPr>
      </w:pPr>
      <w:r w:rsidRPr="00F80883">
        <w:rPr>
          <w:rFonts w:ascii="Verdana" w:hAnsi="Verdana"/>
          <w:sz w:val="18"/>
          <w:szCs w:val="18"/>
        </w:rPr>
        <w:t xml:space="preserve">Mohammed, I., &amp; Mandal, J. (2023). The impact of lead time variability on supply chain management. </w:t>
      </w:r>
      <w:r w:rsidRPr="00F80883">
        <w:rPr>
          <w:rFonts w:ascii="Verdana" w:hAnsi="Verdana"/>
          <w:i/>
          <w:iCs/>
          <w:sz w:val="18"/>
          <w:szCs w:val="18"/>
        </w:rPr>
        <w:t>International Journal of Supply Chain Management, 8</w:t>
      </w:r>
      <w:r w:rsidRPr="00F80883">
        <w:rPr>
          <w:rFonts w:ascii="Verdana" w:hAnsi="Verdana"/>
          <w:sz w:val="18"/>
          <w:szCs w:val="18"/>
        </w:rPr>
        <w:t xml:space="preserve">(2), 41–55. </w:t>
      </w:r>
      <w:hyperlink r:id="rId18" w:history="1">
        <w:r w:rsidRPr="00F80883">
          <w:rPr>
            <w:rStyle w:val="Hyperlink"/>
            <w:rFonts w:ascii="Verdana" w:hAnsi="Verdana"/>
            <w:sz w:val="18"/>
            <w:szCs w:val="18"/>
          </w:rPr>
          <w:t>https://doi.org/10.47604/ijscm.3075</w:t>
        </w:r>
      </w:hyperlink>
    </w:p>
    <w:p w14:paraId="30BB82FC" w14:textId="50DB5B97" w:rsidR="00F80883" w:rsidRPr="00F71516" w:rsidRDefault="00F80883" w:rsidP="00563A79">
      <w:pPr>
        <w:spacing w:before="120"/>
        <w:ind w:left="360" w:hanging="360"/>
        <w:jc w:val="both"/>
        <w:rPr>
          <w:rFonts w:ascii="Verdana" w:hAnsi="Verdana"/>
          <w:sz w:val="18"/>
          <w:szCs w:val="18"/>
        </w:rPr>
      </w:pPr>
      <w:r w:rsidRPr="00F80883">
        <w:rPr>
          <w:rFonts w:ascii="Verdana" w:hAnsi="Verdana"/>
          <w:sz w:val="18"/>
          <w:szCs w:val="18"/>
        </w:rPr>
        <w:t xml:space="preserve">Santos, C. R., et al. (2025). Supplier risk in supply chain risk management. </w:t>
      </w:r>
      <w:r w:rsidRPr="00F80883">
        <w:rPr>
          <w:rFonts w:ascii="Verdana" w:hAnsi="Verdana"/>
          <w:i/>
          <w:iCs/>
          <w:sz w:val="18"/>
          <w:szCs w:val="18"/>
        </w:rPr>
        <w:t>Applied Sciences, 15</w:t>
      </w:r>
      <w:r w:rsidRPr="00F80883">
        <w:rPr>
          <w:rFonts w:ascii="Verdana" w:hAnsi="Verdana"/>
          <w:sz w:val="18"/>
          <w:szCs w:val="18"/>
        </w:rPr>
        <w:t xml:space="preserve">(13), 7128. </w:t>
      </w:r>
      <w:hyperlink r:id="rId19" w:tgtFrame="_new" w:history="1">
        <w:r w:rsidRPr="00F80883">
          <w:rPr>
            <w:rStyle w:val="Hyperlink"/>
            <w:rFonts w:ascii="Verdana" w:hAnsi="Verdana"/>
            <w:sz w:val="18"/>
            <w:szCs w:val="18"/>
          </w:rPr>
          <w:t>https://www.mdpi.com/2076-3417/15/13/7128</w:t>
        </w:r>
      </w:hyperlink>
    </w:p>
    <w:p w14:paraId="48801126" w14:textId="40F6EF1A" w:rsidR="00563A79" w:rsidRPr="00AF369E" w:rsidRDefault="00C34F46" w:rsidP="00563A79">
      <w:pPr>
        <w:spacing w:before="120"/>
        <w:ind w:left="360" w:hanging="360"/>
        <w:jc w:val="both"/>
        <w:rPr>
          <w:rFonts w:ascii="Verdana" w:hAnsi="Verdana"/>
          <w:sz w:val="18"/>
          <w:szCs w:val="18"/>
        </w:rPr>
      </w:pPr>
      <w:r w:rsidRPr="00C34F46">
        <w:rPr>
          <w:rFonts w:ascii="Verdana" w:hAnsi="Verdana"/>
          <w:sz w:val="18"/>
          <w:szCs w:val="18"/>
        </w:rPr>
        <w:t>Trax Technologies.</w:t>
      </w:r>
      <w:r w:rsidR="00563A79" w:rsidRPr="0010160C">
        <w:rPr>
          <w:rFonts w:ascii="Verdana" w:hAnsi="Verdana"/>
          <w:sz w:val="18"/>
          <w:szCs w:val="18"/>
        </w:rPr>
        <w:t xml:space="preserve"> (2025, October 29). AI-Driven Predictive Models Support the Aerospace Supply Chain. </w:t>
      </w:r>
      <w:r w:rsidR="00563A79" w:rsidRPr="0010160C">
        <w:rPr>
          <w:rFonts w:ascii="Verdana" w:hAnsi="Verdana"/>
          <w:i/>
          <w:iCs/>
          <w:sz w:val="18"/>
          <w:szCs w:val="18"/>
        </w:rPr>
        <w:t>Trax</w:t>
      </w:r>
      <w:r w:rsidR="00563A79" w:rsidRPr="0010160C">
        <w:rPr>
          <w:rFonts w:ascii="Verdana" w:hAnsi="Verdana"/>
          <w:sz w:val="18"/>
          <w:szCs w:val="18"/>
        </w:rPr>
        <w:t xml:space="preserve">. Retrieved January 28, 2026, from </w:t>
      </w:r>
      <w:hyperlink r:id="rId20" w:history="1">
        <w:r w:rsidR="00563A79" w:rsidRPr="00563A79">
          <w:rPr>
            <w:rStyle w:val="Hyperlink"/>
            <w:rFonts w:ascii="Verdana" w:hAnsi="Verdana"/>
            <w:sz w:val="18"/>
            <w:szCs w:val="18"/>
          </w:rPr>
          <w:t>https://www.traxtech.com/ai-in-</w:t>
        </w:r>
        <w:r w:rsidR="00563A79" w:rsidRPr="00563A79">
          <w:rPr>
            <w:rStyle w:val="Hyperlink"/>
            <w:rFonts w:ascii="Verdana" w:hAnsi="Verdana"/>
            <w:sz w:val="18"/>
            <w:szCs w:val="18"/>
          </w:rPr>
          <w:lastRenderedPageBreak/>
          <w:t>supply-chain/ai-driven-predictive-models-support-the-aerospace-supply-chain</w:t>
        </w:r>
      </w:hyperlink>
    </w:p>
    <w:p w14:paraId="1EC644F8" w14:textId="51D352E8" w:rsidR="00563A79" w:rsidRPr="00F74517" w:rsidRDefault="00C34F46" w:rsidP="00563A79">
      <w:pPr>
        <w:spacing w:before="120"/>
        <w:ind w:left="360" w:hanging="360"/>
        <w:jc w:val="both"/>
        <w:rPr>
          <w:rFonts w:ascii="Verdana" w:hAnsi="Verdana"/>
          <w:sz w:val="18"/>
          <w:szCs w:val="18"/>
        </w:rPr>
      </w:pPr>
      <w:r w:rsidRPr="00C34F46">
        <w:rPr>
          <w:rFonts w:ascii="Verdana" w:hAnsi="Verdana"/>
          <w:sz w:val="18"/>
          <w:szCs w:val="18"/>
        </w:rPr>
        <w:t>U.S. Government Accountability Office.</w:t>
      </w:r>
      <w:r w:rsidR="00563A79" w:rsidRPr="00F74517">
        <w:rPr>
          <w:rFonts w:ascii="Verdana" w:hAnsi="Verdana"/>
          <w:sz w:val="18"/>
          <w:szCs w:val="18"/>
        </w:rPr>
        <w:t xml:space="preserve"> (2024, March 6). </w:t>
      </w:r>
      <w:r w:rsidR="00563A79" w:rsidRPr="00F74517">
        <w:rPr>
          <w:rFonts w:ascii="Verdana" w:hAnsi="Verdana"/>
          <w:i/>
          <w:iCs/>
          <w:sz w:val="18"/>
          <w:szCs w:val="18"/>
        </w:rPr>
        <w:t>Commercial Aviation Manufacturing: Supply chain challenges and actions to address them</w:t>
      </w:r>
      <w:r w:rsidR="00563A79" w:rsidRPr="00F74517">
        <w:rPr>
          <w:rFonts w:ascii="Verdana" w:hAnsi="Verdana"/>
          <w:sz w:val="18"/>
          <w:szCs w:val="18"/>
        </w:rPr>
        <w:t xml:space="preserve">. | U.S. GAO. </w:t>
      </w:r>
      <w:hyperlink r:id="rId21" w:history="1">
        <w:r w:rsidR="00563A79" w:rsidRPr="00563A79">
          <w:rPr>
            <w:rStyle w:val="Hyperlink"/>
            <w:rFonts w:ascii="Verdana" w:hAnsi="Verdana"/>
            <w:sz w:val="18"/>
            <w:szCs w:val="18"/>
          </w:rPr>
          <w:t>https://www.gao.gov/products/gao-24-106493</w:t>
        </w:r>
      </w:hyperlink>
      <w:r w:rsidR="00563A79" w:rsidRPr="00F74517">
        <w:rPr>
          <w:rFonts w:ascii="Verdana" w:hAnsi="Verdana"/>
          <w:sz w:val="18"/>
          <w:szCs w:val="18"/>
        </w:rPr>
        <w:t xml:space="preserve"> </w:t>
      </w:r>
    </w:p>
    <w:p w14:paraId="601BFCE5" w14:textId="77777777" w:rsidR="00377C28" w:rsidRPr="00AF369E" w:rsidRDefault="00377C28" w:rsidP="006A3DD5">
      <w:pPr>
        <w:spacing w:before="120"/>
        <w:jc w:val="both"/>
        <w:rPr>
          <w:rFonts w:ascii="Verdana" w:hAnsi="Verdana"/>
          <w:color w:val="FF0000"/>
          <w:sz w:val="18"/>
          <w:szCs w:val="18"/>
        </w:rPr>
      </w:pPr>
    </w:p>
    <w:sectPr w:rsidR="00377C28" w:rsidRPr="00AF369E"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92D36" w14:textId="77777777" w:rsidR="0011355A" w:rsidRDefault="0011355A" w:rsidP="00AE7AFF">
      <w:r>
        <w:separator/>
      </w:r>
    </w:p>
  </w:endnote>
  <w:endnote w:type="continuationSeparator" w:id="0">
    <w:p w14:paraId="6EEF0E7B" w14:textId="77777777" w:rsidR="0011355A" w:rsidRDefault="0011355A"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686A055B" w14:textId="77777777" w:rsidR="00AE7AFF" w:rsidRDefault="00AE7AFF">
        <w:pPr>
          <w:pStyle w:val="Footer"/>
          <w:jc w:val="right"/>
        </w:pPr>
        <w:r>
          <w:fldChar w:fldCharType="begin"/>
        </w:r>
        <w:r>
          <w:instrText xml:space="preserve"> PAGE   \* MERGEFORMAT </w:instrText>
        </w:r>
        <w:r>
          <w:fldChar w:fldCharType="separate"/>
        </w:r>
        <w:r w:rsidR="0030720E">
          <w:rPr>
            <w:noProof/>
          </w:rPr>
          <w:t>2</w:t>
        </w:r>
        <w:r>
          <w:rPr>
            <w:noProof/>
          </w:rPr>
          <w:fldChar w:fldCharType="end"/>
        </w:r>
      </w:p>
    </w:sdtContent>
  </w:sdt>
  <w:p w14:paraId="465C64FA"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DC6CA" w14:textId="77777777" w:rsidR="0011355A" w:rsidRDefault="0011355A" w:rsidP="00AE7AFF">
      <w:r>
        <w:separator/>
      </w:r>
    </w:p>
  </w:footnote>
  <w:footnote w:type="continuationSeparator" w:id="0">
    <w:p w14:paraId="35CBC293" w14:textId="77777777" w:rsidR="0011355A" w:rsidRDefault="0011355A"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BCA4DCF"/>
    <w:multiLevelType w:val="hybridMultilevel"/>
    <w:tmpl w:val="67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6621081">
    <w:abstractNumId w:val="3"/>
  </w:num>
  <w:num w:numId="2" w16cid:durableId="1206412345">
    <w:abstractNumId w:val="2"/>
  </w:num>
  <w:num w:numId="3" w16cid:durableId="586815381">
    <w:abstractNumId w:val="0"/>
  </w:num>
  <w:num w:numId="4" w16cid:durableId="862281236">
    <w:abstractNumId w:val="1"/>
  </w:num>
  <w:num w:numId="5" w16cid:durableId="10455696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3C24"/>
    <w:rsid w:val="00075F57"/>
    <w:rsid w:val="000818B4"/>
    <w:rsid w:val="000A5B63"/>
    <w:rsid w:val="000B4B0D"/>
    <w:rsid w:val="000C6FDB"/>
    <w:rsid w:val="000D5E56"/>
    <w:rsid w:val="000F604C"/>
    <w:rsid w:val="00106BE7"/>
    <w:rsid w:val="0011355A"/>
    <w:rsid w:val="00142950"/>
    <w:rsid w:val="001450B2"/>
    <w:rsid w:val="00154DF9"/>
    <w:rsid w:val="00181974"/>
    <w:rsid w:val="001A3D1D"/>
    <w:rsid w:val="00245F4E"/>
    <w:rsid w:val="00266030"/>
    <w:rsid w:val="0028140A"/>
    <w:rsid w:val="002929CE"/>
    <w:rsid w:val="002D0904"/>
    <w:rsid w:val="002D2F06"/>
    <w:rsid w:val="002D4997"/>
    <w:rsid w:val="002F4642"/>
    <w:rsid w:val="002F7562"/>
    <w:rsid w:val="0030720E"/>
    <w:rsid w:val="00315308"/>
    <w:rsid w:val="00327395"/>
    <w:rsid w:val="003312D9"/>
    <w:rsid w:val="00360C4A"/>
    <w:rsid w:val="00362DCE"/>
    <w:rsid w:val="00377C28"/>
    <w:rsid w:val="003902FD"/>
    <w:rsid w:val="003A6106"/>
    <w:rsid w:val="003B643A"/>
    <w:rsid w:val="003F21D1"/>
    <w:rsid w:val="004112DA"/>
    <w:rsid w:val="00427E8B"/>
    <w:rsid w:val="004315A0"/>
    <w:rsid w:val="004421E6"/>
    <w:rsid w:val="00446670"/>
    <w:rsid w:val="00484BCD"/>
    <w:rsid w:val="004876D3"/>
    <w:rsid w:val="00490515"/>
    <w:rsid w:val="004968B2"/>
    <w:rsid w:val="004C3BD5"/>
    <w:rsid w:val="004D24B3"/>
    <w:rsid w:val="004F269D"/>
    <w:rsid w:val="00500B66"/>
    <w:rsid w:val="00527835"/>
    <w:rsid w:val="00563A79"/>
    <w:rsid w:val="00563EE3"/>
    <w:rsid w:val="005932A0"/>
    <w:rsid w:val="005E1EBF"/>
    <w:rsid w:val="006272A2"/>
    <w:rsid w:val="00640A9D"/>
    <w:rsid w:val="006440FA"/>
    <w:rsid w:val="00656CB2"/>
    <w:rsid w:val="00661013"/>
    <w:rsid w:val="006A3BFC"/>
    <w:rsid w:val="006A3DD5"/>
    <w:rsid w:val="006A4502"/>
    <w:rsid w:val="006A6254"/>
    <w:rsid w:val="006D328D"/>
    <w:rsid w:val="00703FB6"/>
    <w:rsid w:val="00764BA2"/>
    <w:rsid w:val="00774AC8"/>
    <w:rsid w:val="007A7F77"/>
    <w:rsid w:val="007B5D16"/>
    <w:rsid w:val="007C7F55"/>
    <w:rsid w:val="007F00AB"/>
    <w:rsid w:val="007F03E1"/>
    <w:rsid w:val="00801985"/>
    <w:rsid w:val="00815142"/>
    <w:rsid w:val="00866F54"/>
    <w:rsid w:val="00872EAB"/>
    <w:rsid w:val="0087576C"/>
    <w:rsid w:val="008B5586"/>
    <w:rsid w:val="008D1AC8"/>
    <w:rsid w:val="008D1B3B"/>
    <w:rsid w:val="008E67F7"/>
    <w:rsid w:val="00942535"/>
    <w:rsid w:val="009937E2"/>
    <w:rsid w:val="00994992"/>
    <w:rsid w:val="009C4F28"/>
    <w:rsid w:val="009F6480"/>
    <w:rsid w:val="00A14C4F"/>
    <w:rsid w:val="00A24CE3"/>
    <w:rsid w:val="00A318AA"/>
    <w:rsid w:val="00A415D6"/>
    <w:rsid w:val="00A66F17"/>
    <w:rsid w:val="00A87BBD"/>
    <w:rsid w:val="00A92FAB"/>
    <w:rsid w:val="00A95BD9"/>
    <w:rsid w:val="00AA0B98"/>
    <w:rsid w:val="00AD1DD6"/>
    <w:rsid w:val="00AE4F88"/>
    <w:rsid w:val="00AE7AFF"/>
    <w:rsid w:val="00AF369E"/>
    <w:rsid w:val="00B020CF"/>
    <w:rsid w:val="00B07FCB"/>
    <w:rsid w:val="00B23131"/>
    <w:rsid w:val="00B25E72"/>
    <w:rsid w:val="00B41CC4"/>
    <w:rsid w:val="00B442EB"/>
    <w:rsid w:val="00B670CF"/>
    <w:rsid w:val="00B81C8D"/>
    <w:rsid w:val="00BA1AF0"/>
    <w:rsid w:val="00BA3C9F"/>
    <w:rsid w:val="00BE0812"/>
    <w:rsid w:val="00BF03FD"/>
    <w:rsid w:val="00BF084A"/>
    <w:rsid w:val="00C00D08"/>
    <w:rsid w:val="00C34F46"/>
    <w:rsid w:val="00C661F1"/>
    <w:rsid w:val="00C7077A"/>
    <w:rsid w:val="00C75791"/>
    <w:rsid w:val="00C8049E"/>
    <w:rsid w:val="00C92CBF"/>
    <w:rsid w:val="00CA018F"/>
    <w:rsid w:val="00CA0695"/>
    <w:rsid w:val="00CA1198"/>
    <w:rsid w:val="00CD0E3E"/>
    <w:rsid w:val="00CE4FE6"/>
    <w:rsid w:val="00D418DA"/>
    <w:rsid w:val="00D8472F"/>
    <w:rsid w:val="00DA2E8D"/>
    <w:rsid w:val="00DB14BE"/>
    <w:rsid w:val="00DB3624"/>
    <w:rsid w:val="00DD2BB4"/>
    <w:rsid w:val="00DE6C4D"/>
    <w:rsid w:val="00DF4809"/>
    <w:rsid w:val="00E10E7A"/>
    <w:rsid w:val="00F27472"/>
    <w:rsid w:val="00F55AB8"/>
    <w:rsid w:val="00F80883"/>
    <w:rsid w:val="00F92874"/>
    <w:rsid w:val="00FB7271"/>
    <w:rsid w:val="00FD1E6A"/>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A8F1F"/>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qFormat/>
    <w:rsid w:val="00AA0B98"/>
    <w:pPr>
      <w:spacing w:after="200" w:line="360" w:lineRule="auto"/>
      <w:ind w:left="720"/>
      <w:contextualSpacing/>
    </w:pPr>
    <w:rPr>
      <w:rFonts w:ascii="Arial" w:eastAsia="Calibri" w:hAnsi="Arial"/>
      <w:sz w:val="20"/>
      <w:szCs w:val="22"/>
    </w:rPr>
  </w:style>
  <w:style w:type="character" w:customStyle="1" w:styleId="ms-vb">
    <w:name w:val="ms-vb"/>
    <w:basedOn w:val="DefaultParagraphFont"/>
    <w:rsid w:val="000C6FDB"/>
  </w:style>
  <w:style w:type="paragraph" w:customStyle="1" w:styleId="APALevel2">
    <w:name w:val="APA Level 2"/>
    <w:basedOn w:val="APALevel1"/>
    <w:next w:val="BodyText"/>
    <w:rsid w:val="00AF369E"/>
    <w:pPr>
      <w:widowControl w:val="0"/>
      <w:adjustRightInd w:val="0"/>
      <w:jc w:val="left"/>
      <w:outlineLvl w:val="2"/>
    </w:pPr>
    <w:rPr>
      <w:iCs/>
    </w:rPr>
  </w:style>
  <w:style w:type="paragraph" w:customStyle="1" w:styleId="APALevel0">
    <w:name w:val="APA Level 0"/>
    <w:basedOn w:val="Normal"/>
    <w:autoRedefine/>
    <w:qFormat/>
    <w:rsid w:val="008D1AC8"/>
    <w:pPr>
      <w:autoSpaceDE w:val="0"/>
      <w:autoSpaceDN w:val="0"/>
      <w:adjustRightInd w:val="0"/>
      <w:snapToGrid w:val="0"/>
      <w:spacing w:line="480" w:lineRule="auto"/>
      <w:jc w:val="center"/>
      <w:outlineLvl w:val="0"/>
    </w:pPr>
  </w:style>
  <w:style w:type="paragraph" w:customStyle="1" w:styleId="APALevel0noTOC">
    <w:name w:val="APA Level 0 no TOC"/>
    <w:basedOn w:val="APALevel0"/>
    <w:next w:val="BodyText"/>
    <w:qFormat/>
    <w:rsid w:val="008D1AC8"/>
    <w:pPr>
      <w:pageBreakBefore/>
      <w:outlineLvl w:val="9"/>
    </w:pPr>
  </w:style>
  <w:style w:type="character" w:styleId="UnresolvedMention">
    <w:name w:val="Unresolved Mention"/>
    <w:basedOn w:val="DefaultParagraphFont"/>
    <w:uiPriority w:val="99"/>
    <w:semiHidden/>
    <w:unhideWhenUsed/>
    <w:rsid w:val="00656CB2"/>
    <w:rPr>
      <w:color w:val="605E5C"/>
      <w:shd w:val="clear" w:color="auto" w:fill="E1DFDD"/>
    </w:rPr>
  </w:style>
  <w:style w:type="character" w:styleId="FollowedHyperlink">
    <w:name w:val="FollowedHyperlink"/>
    <w:basedOn w:val="DefaultParagraphFont"/>
    <w:semiHidden/>
    <w:unhideWhenUsed/>
    <w:rsid w:val="006A625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653254">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000545585">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lancaster-university.uk/en/publications/geopolitical-disruptions-in-global-supply-chains-a-state-of-the-a/" TargetMode="External"/><Relationship Id="rId13" Type="http://schemas.openxmlformats.org/officeDocument/2006/relationships/hyperlink" Target="https://www.reuters.com/business/aerospace-defense/southwest-cuts-delivery-forecast-boeing-2024-03-12/%20" TargetMode="External"/><Relationship Id="rId18" Type="http://schemas.openxmlformats.org/officeDocument/2006/relationships/hyperlink" Target="https://doi.org/10.47604/ijscm.3075" TargetMode="External"/><Relationship Id="rId3" Type="http://schemas.openxmlformats.org/officeDocument/2006/relationships/settings" Target="settings.xml"/><Relationship Id="rId21" Type="http://schemas.openxmlformats.org/officeDocument/2006/relationships/hyperlink" Target="https://www.gao.gov/products/gao-24-106493%20" TargetMode="External"/><Relationship Id="rId7" Type="http://schemas.openxmlformats.org/officeDocument/2006/relationships/footer" Target="footer1.xml"/><Relationship Id="rId12" Type="http://schemas.openxmlformats.org/officeDocument/2006/relationships/hyperlink" Target="https://www.researchgate.net/publication/384388190_Machine_Learning_and_Deep_Learning_Models_for_Demand_Forecasting_in_Supply_Chain_Management_A_Critical_Review%20" TargetMode="External"/><Relationship Id="rId17" Type="http://schemas.openxmlformats.org/officeDocument/2006/relationships/hyperlink" Target="https://www.mckinsey.com/industries/operations/our-insights/risk-resilience-and-rebalancing-in-global-value-chains" TargetMode="External"/><Relationship Id="rId2" Type="http://schemas.openxmlformats.org/officeDocument/2006/relationships/styles" Target="styles.xml"/><Relationship Id="rId16" Type="http://schemas.openxmlformats.org/officeDocument/2006/relationships/hyperlink" Target="https://www.reuters.com/business/aerospace-defense/boeing-delays-suppliers-737-max-output-goal-by-6-months-sources-say-2024-09-09/%20" TargetMode="External"/><Relationship Id="rId20" Type="http://schemas.openxmlformats.org/officeDocument/2006/relationships/hyperlink" Target="https://www.traxtech.com/ai-in-supply-chain/ai-driven-predictive-models-support-the-aerospace-supply-cha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loitte.com/us/en/insights/industry/aerospace-defense/aerospace-and-defense-industry-outlook.html?utm_source=chatgpt.com" TargetMode="External"/><Relationship Id="rId5" Type="http://schemas.openxmlformats.org/officeDocument/2006/relationships/footnotes" Target="footnotes.xml"/><Relationship Id="rId15" Type="http://schemas.openxmlformats.org/officeDocument/2006/relationships/hyperlink" Target="https://www.ey.com/en_us/insights/aerospace-defense/how-can-digital-supply-chains-help-manage-aerospace-risk" TargetMode="External"/><Relationship Id="rId23" Type="http://schemas.openxmlformats.org/officeDocument/2006/relationships/theme" Target="theme/theme1.xml"/><Relationship Id="rId10" Type="http://schemas.openxmlformats.org/officeDocument/2006/relationships/hyperlink" Target="https://www.deloitte.com/us/en/insights/industry/aerospace-defense/aerospace-and-defense-industry-outlook/2025.html?utm_source=chatgpt.com" TargetMode="External"/><Relationship Id="rId19" Type="http://schemas.openxmlformats.org/officeDocument/2006/relationships/hyperlink" Target="https://www.mdpi.com/2076-3417/15/13/7128?utm_source=chatgpt.com" TargetMode="External"/><Relationship Id="rId4" Type="http://schemas.openxmlformats.org/officeDocument/2006/relationships/webSettings" Target="webSettings.xml"/><Relationship Id="rId9" Type="http://schemas.openxmlformats.org/officeDocument/2006/relationships/hyperlink" Target="https://www.deloitte.com/global/en/Industries/defense-security-justice/analysis/gx-aerospace-and-defense-industry-outlook.html?utm_source=chatgpt.com" TargetMode="External"/><Relationship Id="rId14" Type="http://schemas.openxmlformats.org/officeDocument/2006/relationships/hyperlink" Target="https://leehamnews.com/2025/12/08/supply-chain-continues-to-bedevil-airbus-boeing/%2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Template>
  <TotalTime>64</TotalTime>
  <Pages>1</Pages>
  <Words>1660</Words>
  <Characters>12368</Characters>
  <Application>Microsoft Office Word</Application>
  <DocSecurity>0</DocSecurity>
  <Lines>374</Lines>
  <Paragraphs>61</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13967</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Parmbir Singh</cp:lastModifiedBy>
  <cp:revision>7</cp:revision>
  <dcterms:created xsi:type="dcterms:W3CDTF">2026-02-18T02:17:00Z</dcterms:created>
  <dcterms:modified xsi:type="dcterms:W3CDTF">2026-02-18T05:05:00Z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e0cec903-6b61-43bd-af9b-9f873bd9ae42</vt:lpwstr>
  </property>
</Properties>
</file>