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DFE3" w14:textId="33BA44C2" w:rsidR="00AA0B98" w:rsidRDefault="0010160C" w:rsidP="00C8049E">
      <w:pPr>
        <w:jc w:val="center"/>
        <w:rPr>
          <w:rFonts w:ascii="Verdana" w:hAnsi="Verdana"/>
          <w:sz w:val="36"/>
          <w:szCs w:val="36"/>
        </w:rPr>
      </w:pPr>
      <w:r>
        <w:rPr>
          <w:rFonts w:ascii="Verdana" w:hAnsi="Verdana"/>
          <w:sz w:val="36"/>
          <w:szCs w:val="36"/>
        </w:rPr>
        <w:t xml:space="preserve">Winter 2025 </w:t>
      </w:r>
      <w:r w:rsidR="00832093">
        <w:rPr>
          <w:rFonts w:ascii="Verdana" w:hAnsi="Verdana"/>
          <w:sz w:val="36"/>
          <w:szCs w:val="36"/>
        </w:rPr>
        <w:t xml:space="preserve">CS </w:t>
      </w:r>
      <w:r w:rsidR="00484374">
        <w:rPr>
          <w:rFonts w:ascii="Verdana" w:hAnsi="Verdana"/>
          <w:sz w:val="36"/>
          <w:szCs w:val="36"/>
        </w:rPr>
        <w:t>497</w:t>
      </w:r>
      <w:r w:rsidR="00832093">
        <w:rPr>
          <w:rFonts w:ascii="Verdana" w:hAnsi="Verdana"/>
          <w:sz w:val="36"/>
          <w:szCs w:val="36"/>
        </w:rPr>
        <w:t xml:space="preserve"> </w:t>
      </w:r>
      <w:r w:rsidR="009F6480" w:rsidRPr="00377C28">
        <w:rPr>
          <w:rFonts w:ascii="Verdana" w:hAnsi="Verdana"/>
          <w:sz w:val="36"/>
          <w:szCs w:val="36"/>
        </w:rPr>
        <w:t>Capstone Project</w:t>
      </w:r>
    </w:p>
    <w:p w14:paraId="20FCB52C" w14:textId="77777777" w:rsidR="00AA0B98" w:rsidRPr="006B0CE1" w:rsidRDefault="00AA0B98" w:rsidP="00AA0B98">
      <w:pPr>
        <w:jc w:val="center"/>
        <w:rPr>
          <w:rFonts w:ascii="Verdana" w:hAnsi="Verdana"/>
          <w:sz w:val="36"/>
          <w:szCs w:val="36"/>
        </w:rPr>
      </w:pPr>
      <w:r w:rsidRPr="006B0CE1">
        <w:rPr>
          <w:rFonts w:ascii="Verdana" w:hAnsi="Verdana"/>
          <w:sz w:val="36"/>
          <w:szCs w:val="36"/>
        </w:rPr>
        <w:t>Annotated Bibliography</w:t>
      </w:r>
    </w:p>
    <w:p w14:paraId="19BF2B2F" w14:textId="2E93683B" w:rsidR="00C8049E" w:rsidRPr="00377C28" w:rsidRDefault="00C8049E" w:rsidP="00C8049E">
      <w:pPr>
        <w:jc w:val="center"/>
        <w:rPr>
          <w:rFonts w:ascii="Verdana" w:hAnsi="Verdana"/>
          <w:sz w:val="36"/>
          <w:szCs w:val="36"/>
        </w:rPr>
      </w:pPr>
      <w:r w:rsidRPr="00377C28">
        <w:rPr>
          <w:rFonts w:ascii="Verdana" w:hAnsi="Verdana"/>
          <w:sz w:val="36"/>
          <w:szCs w:val="36"/>
        </w:rPr>
        <w:br/>
      </w:r>
      <w:r w:rsidR="0010160C">
        <w:rPr>
          <w:rFonts w:ascii="Verdana" w:hAnsi="Verdana"/>
          <w:sz w:val="36"/>
          <w:szCs w:val="36"/>
        </w:rPr>
        <w:t>Enhancing Aerospace Supply Chain Resilience: A Predictive Analytics Approach to Mitigate Lead-Time Volatility</w:t>
      </w:r>
    </w:p>
    <w:p w14:paraId="55E86784" w14:textId="77777777" w:rsidR="00C8049E" w:rsidRPr="00377C28" w:rsidRDefault="00C8049E" w:rsidP="00C8049E">
      <w:pPr>
        <w:jc w:val="center"/>
        <w:rPr>
          <w:rFonts w:ascii="Verdana" w:hAnsi="Verdana" w:cs="Arial"/>
        </w:rPr>
      </w:pPr>
    </w:p>
    <w:p w14:paraId="4FD80AB2" w14:textId="77777777" w:rsidR="00C8049E" w:rsidRPr="00377C28" w:rsidRDefault="00C8049E" w:rsidP="00AE7AFF">
      <w:pPr>
        <w:rPr>
          <w:rFonts w:ascii="Verdana" w:hAnsi="Verdana" w:cs="Arial"/>
        </w:rPr>
      </w:pPr>
    </w:p>
    <w:p w14:paraId="2E1F1D0A" w14:textId="4566FC80" w:rsidR="000A21B4" w:rsidRDefault="00272660" w:rsidP="000A21B4">
      <w:pPr>
        <w:jc w:val="center"/>
        <w:rPr>
          <w:rFonts w:ascii="Verdana" w:hAnsi="Verdana" w:cs="Arial"/>
          <w:noProof/>
        </w:rPr>
      </w:pPr>
      <w:r>
        <w:rPr>
          <w:rFonts w:ascii="Verdana" w:hAnsi="Verdana" w:cs="Arial"/>
          <w:noProof/>
        </w:rPr>
        <w:t>Parmbir Singh</w:t>
      </w:r>
    </w:p>
    <w:p w14:paraId="7AA9E252" w14:textId="20A80886" w:rsidR="000A21B4" w:rsidRDefault="000A21B4" w:rsidP="000A21B4">
      <w:pPr>
        <w:jc w:val="center"/>
        <w:rPr>
          <w:rFonts w:ascii="Verdana" w:hAnsi="Verdana" w:cs="Arial"/>
        </w:rPr>
      </w:pPr>
      <w:r>
        <w:rPr>
          <w:rFonts w:ascii="Verdana" w:hAnsi="Verdana" w:cs="Arial"/>
          <w:noProof/>
        </w:rPr>
        <w:t xml:space="preserve">Advisor:  </w:t>
      </w:r>
      <w:r w:rsidR="00272660">
        <w:rPr>
          <w:rFonts w:ascii="Verdana" w:hAnsi="Verdana" w:cs="Arial"/>
          <w:noProof/>
        </w:rPr>
        <w:t>Tomas Huber</w:t>
      </w:r>
    </w:p>
    <w:p w14:paraId="625C4DE3" w14:textId="54B1FF4A" w:rsidR="000A21B4" w:rsidRDefault="00272660" w:rsidP="000A21B4">
      <w:pPr>
        <w:jc w:val="center"/>
        <w:rPr>
          <w:rFonts w:ascii="Verdana" w:hAnsi="Verdana" w:cs="Arial"/>
          <w:noProof/>
        </w:rPr>
      </w:pPr>
      <w:r>
        <w:rPr>
          <w:rFonts w:ascii="Verdana" w:hAnsi="Verdana" w:cs="Arial"/>
          <w:noProof/>
        </w:rPr>
        <w:t>BS</w:t>
      </w:r>
      <w:r w:rsidR="000A21B4">
        <w:rPr>
          <w:rFonts w:ascii="Verdana" w:hAnsi="Verdana" w:cs="Arial"/>
          <w:noProof/>
        </w:rPr>
        <w:t xml:space="preserve"> in </w:t>
      </w:r>
      <w:r w:rsidR="00832093">
        <w:rPr>
          <w:rFonts w:ascii="Verdana" w:hAnsi="Verdana" w:cs="Arial"/>
          <w:noProof/>
        </w:rPr>
        <w:t>Computer Science</w:t>
      </w:r>
      <w:r w:rsidR="000A21B4">
        <w:rPr>
          <w:rFonts w:ascii="Verdana" w:hAnsi="Verdana" w:cs="Arial"/>
          <w:noProof/>
        </w:rPr>
        <w:br/>
      </w:r>
      <w:r w:rsidR="00A11766">
        <w:rPr>
          <w:rFonts w:ascii="Verdana" w:hAnsi="Verdana" w:cs="Arial"/>
          <w:noProof/>
        </w:rPr>
        <w:t>School of Technology and Computing (STC)</w:t>
      </w:r>
    </w:p>
    <w:p w14:paraId="0A24DF1A" w14:textId="77777777" w:rsidR="000A21B4" w:rsidRDefault="000A21B4" w:rsidP="000A21B4">
      <w:pPr>
        <w:jc w:val="center"/>
        <w:rPr>
          <w:rFonts w:ascii="Verdana" w:hAnsi="Verdana" w:cs="Arial"/>
          <w:noProof/>
        </w:rPr>
      </w:pPr>
      <w:r>
        <w:rPr>
          <w:rFonts w:ascii="Verdana" w:hAnsi="Verdana" w:cs="Arial"/>
          <w:noProof/>
        </w:rPr>
        <w:t>City University of Seattle</w:t>
      </w:r>
      <w:r w:rsidR="00A11766">
        <w:rPr>
          <w:rFonts w:ascii="Verdana" w:hAnsi="Verdana" w:cs="Arial"/>
          <w:noProof/>
        </w:rPr>
        <w:t xml:space="preserve"> (CityU)</w:t>
      </w:r>
    </w:p>
    <w:p w14:paraId="438F8F8F" w14:textId="020AD3C1" w:rsidR="000A21B4" w:rsidRDefault="00272660" w:rsidP="000A21B4">
      <w:pPr>
        <w:jc w:val="center"/>
        <w:rPr>
          <w:rFonts w:ascii="Verdana" w:hAnsi="Verdana" w:cs="Arial"/>
          <w:noProof/>
        </w:rPr>
      </w:pPr>
      <w:r>
        <w:rPr>
          <w:rFonts w:ascii="Verdana" w:hAnsi="Verdana" w:cs="Arial"/>
          <w:noProof/>
        </w:rPr>
        <w:t>singhparmbir</w:t>
      </w:r>
      <w:r w:rsidR="000A21B4">
        <w:rPr>
          <w:rFonts w:ascii="Verdana" w:hAnsi="Verdana" w:cs="Arial"/>
          <w:noProof/>
        </w:rPr>
        <w:t xml:space="preserve">@cityuniversity.edu, </w:t>
      </w:r>
      <w:r>
        <w:rPr>
          <w:rFonts w:ascii="Verdana" w:hAnsi="Verdana" w:cs="Arial"/>
          <w:noProof/>
        </w:rPr>
        <w:t>hubertomas</w:t>
      </w:r>
      <w:r w:rsidR="000A21B4">
        <w:rPr>
          <w:rFonts w:ascii="Verdana" w:hAnsi="Verdana" w:cs="Arial"/>
          <w:noProof/>
        </w:rPr>
        <w:t>@cityu.edu</w:t>
      </w:r>
    </w:p>
    <w:p w14:paraId="0959771E" w14:textId="7DA4B856" w:rsidR="00C8049E" w:rsidRDefault="00C8049E" w:rsidP="0010160C">
      <w:pPr>
        <w:jc w:val="both"/>
        <w:rPr>
          <w:rFonts w:ascii="Verdana" w:hAnsi="Verdana" w:cs="Arial"/>
        </w:rPr>
      </w:pPr>
    </w:p>
    <w:p w14:paraId="558094DE" w14:textId="77777777" w:rsidR="0010160C" w:rsidRPr="00AF369E" w:rsidRDefault="0010160C" w:rsidP="0010160C">
      <w:pPr>
        <w:jc w:val="both"/>
        <w:rPr>
          <w:rFonts w:ascii="Verdana" w:hAnsi="Verdana" w:cs="Arial"/>
          <w:sz w:val="18"/>
          <w:szCs w:val="18"/>
        </w:rPr>
      </w:pPr>
    </w:p>
    <w:p w14:paraId="483B6BBA" w14:textId="77777777" w:rsidR="00C8049E" w:rsidRPr="00AF369E" w:rsidRDefault="00C8049E" w:rsidP="00C8049E">
      <w:pPr>
        <w:jc w:val="both"/>
        <w:rPr>
          <w:rFonts w:ascii="Verdana" w:hAnsi="Verdana" w:cs="Arial"/>
          <w:sz w:val="18"/>
          <w:szCs w:val="18"/>
        </w:rPr>
      </w:pPr>
    </w:p>
    <w:p w14:paraId="2AA09065" w14:textId="77777777" w:rsidR="00C8049E" w:rsidRPr="00AF369E" w:rsidRDefault="00C8049E" w:rsidP="00C8049E">
      <w:pPr>
        <w:spacing w:before="100" w:beforeAutospacing="1" w:after="100" w:afterAutospacing="1"/>
        <w:rPr>
          <w:rFonts w:ascii="Verdana" w:hAnsi="Verdana"/>
          <w:sz w:val="18"/>
          <w:szCs w:val="18"/>
        </w:rPr>
        <w:sectPr w:rsidR="00C8049E" w:rsidRPr="00AF369E" w:rsidSect="003F21D1">
          <w:footerReference w:type="default" r:id="rId7"/>
          <w:pgSz w:w="12240" w:h="15840" w:code="1"/>
          <w:pgMar w:top="1440" w:right="1440" w:bottom="1440" w:left="1440" w:header="720" w:footer="720" w:gutter="0"/>
          <w:cols w:space="720"/>
          <w:docGrid w:linePitch="360"/>
        </w:sectPr>
      </w:pPr>
    </w:p>
    <w:p w14:paraId="6CD033A7" w14:textId="6CC93D24" w:rsidR="006A4502" w:rsidRPr="00AF369E" w:rsidRDefault="006A4502" w:rsidP="006A4502">
      <w:pPr>
        <w:spacing w:before="240"/>
        <w:jc w:val="center"/>
        <w:rPr>
          <w:rFonts w:ascii="Verdana" w:hAnsi="Verdana" w:cs="Arial"/>
          <w:sz w:val="18"/>
          <w:szCs w:val="18"/>
        </w:rPr>
      </w:pPr>
      <w:r w:rsidRPr="00AF369E">
        <w:rPr>
          <w:rFonts w:ascii="Verdana" w:hAnsi="Verdana"/>
          <w:b/>
          <w:bCs/>
          <w:sz w:val="18"/>
          <w:szCs w:val="18"/>
        </w:rPr>
        <w:t>REFERENCE</w:t>
      </w:r>
      <w:r w:rsidR="0010160C">
        <w:rPr>
          <w:rFonts w:ascii="Verdana" w:hAnsi="Verdana"/>
          <w:b/>
          <w:bCs/>
          <w:sz w:val="18"/>
          <w:szCs w:val="18"/>
        </w:rPr>
        <w:t>S</w:t>
      </w:r>
    </w:p>
    <w:p w14:paraId="126363D7" w14:textId="77777777" w:rsidR="00AF369E" w:rsidRPr="00AF369E" w:rsidRDefault="00AF369E" w:rsidP="00AF369E">
      <w:pPr>
        <w:pStyle w:val="Heading2"/>
        <w:rPr>
          <w:rFonts w:ascii="Verdana" w:hAnsi="Verdana"/>
          <w:b w:val="0"/>
          <w:bCs w:val="0"/>
        </w:rPr>
      </w:pPr>
    </w:p>
    <w:p w14:paraId="09F9EC1A" w14:textId="5CB66C73" w:rsidR="00AF369E" w:rsidRPr="00AF369E" w:rsidRDefault="00AF369E" w:rsidP="00AF369E">
      <w:pPr>
        <w:pStyle w:val="Heading2"/>
        <w:rPr>
          <w:rFonts w:ascii="Verdana" w:hAnsi="Verdana"/>
          <w:b w:val="0"/>
          <w:shd w:val="clear" w:color="auto" w:fill="FFFFFF"/>
        </w:rPr>
      </w:pPr>
      <w:r w:rsidRPr="00AF369E">
        <w:rPr>
          <w:rFonts w:ascii="Verdana" w:hAnsi="Verdana"/>
          <w:shd w:val="clear" w:color="auto" w:fill="FFFFFF"/>
        </w:rPr>
        <w:t>Reference 1</w:t>
      </w:r>
    </w:p>
    <w:p w14:paraId="53E34F60" w14:textId="71301584" w:rsidR="00AF369E" w:rsidRPr="00AF369E" w:rsidRDefault="0010160C" w:rsidP="0010160C">
      <w:pPr>
        <w:spacing w:before="120"/>
        <w:ind w:left="360" w:hanging="360"/>
        <w:jc w:val="both"/>
        <w:rPr>
          <w:rFonts w:ascii="Verdana" w:hAnsi="Verdana"/>
          <w:sz w:val="18"/>
          <w:szCs w:val="18"/>
        </w:rPr>
      </w:pPr>
      <w:r w:rsidRPr="0010160C">
        <w:rPr>
          <w:rFonts w:ascii="Verdana" w:hAnsi="Verdana"/>
          <w:sz w:val="18"/>
          <w:szCs w:val="18"/>
        </w:rPr>
        <w:t xml:space="preserve">Technologies, T. (2025, October 29). AI-Driven Predictive Models Support the Aerospace Supply Chain. </w:t>
      </w:r>
      <w:r w:rsidRPr="0010160C">
        <w:rPr>
          <w:rFonts w:ascii="Verdana" w:hAnsi="Verdana"/>
          <w:i/>
          <w:iCs/>
          <w:sz w:val="18"/>
          <w:szCs w:val="18"/>
        </w:rPr>
        <w:t>Trax</w:t>
      </w:r>
      <w:r w:rsidRPr="0010160C">
        <w:rPr>
          <w:rFonts w:ascii="Verdana" w:hAnsi="Verdana"/>
          <w:sz w:val="18"/>
          <w:szCs w:val="18"/>
        </w:rPr>
        <w:t>. Retrieved January 28, 2026, from https://www.traxtech.com/ai-in-supply-chain/ai-driven-predictive-models-support-the-aerospace-supply-chain</w:t>
      </w:r>
    </w:p>
    <w:p w14:paraId="5268FCFA" w14:textId="77777777" w:rsidR="00AF369E" w:rsidRPr="00AF369E" w:rsidRDefault="00AF369E" w:rsidP="00AF369E">
      <w:pPr>
        <w:pStyle w:val="Heading2"/>
        <w:rPr>
          <w:rFonts w:ascii="Verdana" w:hAnsi="Verdana"/>
        </w:rPr>
      </w:pPr>
    </w:p>
    <w:p w14:paraId="20BDDA44" w14:textId="77777777" w:rsidR="00AF369E" w:rsidRPr="00AF369E" w:rsidRDefault="00AF369E" w:rsidP="00AF369E">
      <w:pPr>
        <w:pStyle w:val="Heading2"/>
        <w:rPr>
          <w:rFonts w:ascii="Verdana" w:hAnsi="Verdana"/>
          <w:b w:val="0"/>
        </w:rPr>
      </w:pPr>
      <w:r w:rsidRPr="00AF369E">
        <w:rPr>
          <w:rFonts w:ascii="Verdana" w:hAnsi="Verdana"/>
          <w:b w:val="0"/>
        </w:rPr>
        <w:t xml:space="preserve">Summary </w:t>
      </w:r>
    </w:p>
    <w:p w14:paraId="576529E9" w14:textId="77777777" w:rsidR="000A7A1B" w:rsidRPr="000A7A1B" w:rsidRDefault="000A7A1B" w:rsidP="000A7A1B">
      <w:pPr>
        <w:pStyle w:val="Heading2"/>
        <w:rPr>
          <w:rFonts w:ascii="Verdana" w:hAnsi="Verdana"/>
          <w:b w:val="0"/>
          <w:bCs w:val="0"/>
        </w:rPr>
      </w:pPr>
      <w:r w:rsidRPr="000A7A1B">
        <w:rPr>
          <w:rFonts w:ascii="Verdana" w:hAnsi="Verdana"/>
          <w:b w:val="0"/>
          <w:bCs w:val="0"/>
        </w:rPr>
        <w:t>This article describes how proactive, data-driven planning is replacing traditional reactive inventory approaches in aerospace supply chains through the use of advanced predictive analytics systems. It describes how unified analysis of manufacturing, distribution, and maintenance data is made possible by machine learning and integrated data environments, generating automated insights for supplier coordination, inventory optimization, and demand forecasting. The article also discusses how predictive models can optimize inventory placement across regional networks and produce recommendations for advance purchases.</w:t>
      </w:r>
    </w:p>
    <w:p w14:paraId="5D195610" w14:textId="77777777" w:rsidR="00AF369E" w:rsidRPr="00AF369E" w:rsidRDefault="00AF369E" w:rsidP="00AF369E">
      <w:pPr>
        <w:pStyle w:val="Heading2"/>
        <w:rPr>
          <w:rFonts w:ascii="Verdana" w:hAnsi="Verdana"/>
        </w:rPr>
      </w:pPr>
    </w:p>
    <w:p w14:paraId="30078C6A" w14:textId="77777777" w:rsidR="00AF369E" w:rsidRPr="00AF369E" w:rsidRDefault="00AF369E" w:rsidP="00AF369E">
      <w:pPr>
        <w:pStyle w:val="Heading2"/>
        <w:rPr>
          <w:rFonts w:ascii="Verdana" w:hAnsi="Verdana"/>
          <w:b w:val="0"/>
        </w:rPr>
      </w:pPr>
      <w:r w:rsidRPr="00AF369E">
        <w:rPr>
          <w:rFonts w:ascii="Verdana" w:hAnsi="Verdana"/>
          <w:b w:val="0"/>
        </w:rPr>
        <w:t>Value</w:t>
      </w:r>
    </w:p>
    <w:p w14:paraId="1A16BF1B" w14:textId="6FFDB90C" w:rsidR="000A7A1B" w:rsidRPr="000A7A1B" w:rsidRDefault="000A7A1B" w:rsidP="000A7A1B">
      <w:pPr>
        <w:jc w:val="both"/>
        <w:rPr>
          <w:rFonts w:ascii="Verdana" w:hAnsi="Verdana"/>
          <w:sz w:val="18"/>
          <w:szCs w:val="18"/>
        </w:rPr>
      </w:pPr>
      <w:r w:rsidRPr="000A7A1B">
        <w:rPr>
          <w:rFonts w:ascii="Verdana" w:hAnsi="Verdana"/>
          <w:sz w:val="18"/>
          <w:szCs w:val="18"/>
        </w:rPr>
        <w:t xml:space="preserve">By offering examples of predictive analytics in supply chain operations that are specific to the aerospace industry rather than just general SCM theory, this source bolsters the practical aspect of </w:t>
      </w:r>
      <w:r w:rsidR="0010160C">
        <w:rPr>
          <w:rFonts w:ascii="Verdana" w:hAnsi="Verdana"/>
          <w:sz w:val="18"/>
          <w:szCs w:val="18"/>
        </w:rPr>
        <w:t>my</w:t>
      </w:r>
      <w:r w:rsidRPr="000A7A1B">
        <w:rPr>
          <w:rFonts w:ascii="Verdana" w:hAnsi="Verdana"/>
          <w:sz w:val="18"/>
          <w:szCs w:val="18"/>
        </w:rPr>
        <w:t xml:space="preserve"> capstone. It demonstrates how predictive </w:t>
      </w:r>
      <w:r w:rsidRPr="000A7A1B">
        <w:rPr>
          <w:rFonts w:ascii="Verdana" w:hAnsi="Verdana"/>
          <w:sz w:val="18"/>
          <w:szCs w:val="18"/>
        </w:rPr>
        <w:t xml:space="preserve">forecasting and digital data integration can enhance inventory decisions and minimize expensive reactive strategies, which is directly related to </w:t>
      </w:r>
      <w:r w:rsidR="0010160C">
        <w:rPr>
          <w:rFonts w:ascii="Verdana" w:hAnsi="Verdana"/>
          <w:sz w:val="18"/>
          <w:szCs w:val="18"/>
        </w:rPr>
        <w:t>my</w:t>
      </w:r>
      <w:r w:rsidRPr="000A7A1B">
        <w:rPr>
          <w:rFonts w:ascii="Verdana" w:hAnsi="Verdana"/>
          <w:sz w:val="18"/>
          <w:szCs w:val="18"/>
        </w:rPr>
        <w:t xml:space="preserve"> project's goal of lowering lead-time volatility through predictive techniques.</w:t>
      </w:r>
    </w:p>
    <w:p w14:paraId="7242FC74" w14:textId="77777777" w:rsidR="00AF369E" w:rsidRPr="00AF369E" w:rsidRDefault="00AF369E" w:rsidP="00AF369E">
      <w:pPr>
        <w:jc w:val="both"/>
        <w:rPr>
          <w:rFonts w:ascii="Verdana" w:hAnsi="Verdana"/>
          <w:sz w:val="18"/>
          <w:szCs w:val="18"/>
        </w:rPr>
      </w:pPr>
    </w:p>
    <w:p w14:paraId="0EDBDFCF" w14:textId="55930D81" w:rsidR="00AF369E" w:rsidRPr="00AF369E" w:rsidRDefault="00AF369E" w:rsidP="00AF369E">
      <w:pPr>
        <w:pStyle w:val="Heading2"/>
        <w:rPr>
          <w:rFonts w:ascii="Verdana" w:hAnsi="Verdana"/>
          <w:b w:val="0"/>
          <w:shd w:val="clear" w:color="auto" w:fill="FFFFFF"/>
        </w:rPr>
      </w:pPr>
      <w:r w:rsidRPr="00AF369E">
        <w:rPr>
          <w:rFonts w:ascii="Verdana" w:hAnsi="Verdana"/>
          <w:shd w:val="clear" w:color="auto" w:fill="FFFFFF"/>
        </w:rPr>
        <w:t>Reference 2</w:t>
      </w:r>
    </w:p>
    <w:p w14:paraId="2425D0CF" w14:textId="27CA5084" w:rsidR="00AF369E" w:rsidRPr="00AF369E" w:rsidRDefault="00C21962" w:rsidP="00AF369E">
      <w:pPr>
        <w:spacing w:before="120"/>
        <w:ind w:left="360" w:hanging="360"/>
        <w:jc w:val="both"/>
        <w:rPr>
          <w:rFonts w:ascii="Verdana" w:hAnsi="Verdana"/>
          <w:sz w:val="18"/>
          <w:szCs w:val="18"/>
        </w:rPr>
      </w:pPr>
      <w:r w:rsidRPr="00C21962">
        <w:rPr>
          <w:rFonts w:ascii="Verdana" w:hAnsi="Verdana"/>
          <w:sz w:val="18"/>
          <w:szCs w:val="18"/>
        </w:rPr>
        <w:t xml:space="preserve">Lagut, S., Ram, R., Compton, N., &amp; Cadenazzi, M. (2025, July 10). </w:t>
      </w:r>
      <w:r w:rsidRPr="00C21962">
        <w:rPr>
          <w:rFonts w:ascii="Verdana" w:hAnsi="Verdana"/>
          <w:i/>
          <w:iCs/>
          <w:sz w:val="18"/>
          <w:szCs w:val="18"/>
        </w:rPr>
        <w:t>How can digital supply chains help manage aerospace risk?</w:t>
      </w:r>
      <w:r w:rsidRPr="00C21962">
        <w:rPr>
          <w:rFonts w:ascii="Verdana" w:hAnsi="Verdana"/>
          <w:sz w:val="18"/>
          <w:szCs w:val="18"/>
        </w:rPr>
        <w:t xml:space="preserve"> </w:t>
      </w:r>
      <w:r w:rsidR="0010160C" w:rsidRPr="0010160C">
        <w:rPr>
          <w:rFonts w:ascii="Verdana" w:hAnsi="Verdana"/>
          <w:sz w:val="18"/>
          <w:szCs w:val="18"/>
        </w:rPr>
        <w:t>https://www.ey.com/en_us/insights/aerospace-defense/how-can-digital-supply-chains-help-manage-aerospace-risk</w:t>
      </w:r>
    </w:p>
    <w:p w14:paraId="59C8490C" w14:textId="77777777" w:rsidR="00AF369E" w:rsidRPr="00AF369E" w:rsidRDefault="00AF369E" w:rsidP="00AF369E">
      <w:pPr>
        <w:pStyle w:val="Heading2"/>
        <w:rPr>
          <w:rFonts w:ascii="Verdana" w:hAnsi="Verdana"/>
        </w:rPr>
      </w:pPr>
    </w:p>
    <w:p w14:paraId="73A745DF" w14:textId="77777777" w:rsidR="00AF369E" w:rsidRPr="00AF369E" w:rsidRDefault="00AF369E" w:rsidP="00AF369E">
      <w:pPr>
        <w:pStyle w:val="Heading2"/>
        <w:rPr>
          <w:rFonts w:ascii="Verdana" w:hAnsi="Verdana"/>
          <w:b w:val="0"/>
        </w:rPr>
      </w:pPr>
      <w:r w:rsidRPr="00AF369E">
        <w:rPr>
          <w:rFonts w:ascii="Verdana" w:hAnsi="Verdana"/>
          <w:b w:val="0"/>
        </w:rPr>
        <w:t xml:space="preserve">Summary </w:t>
      </w:r>
    </w:p>
    <w:p w14:paraId="73306728" w14:textId="18D988EC" w:rsidR="00AF369E" w:rsidRPr="00AF369E" w:rsidRDefault="00C21962" w:rsidP="00AF369E">
      <w:pPr>
        <w:rPr>
          <w:rFonts w:ascii="Verdana" w:hAnsi="Verdana"/>
          <w:sz w:val="18"/>
          <w:szCs w:val="18"/>
        </w:rPr>
      </w:pPr>
      <w:r w:rsidRPr="00C21962">
        <w:rPr>
          <w:rFonts w:ascii="Verdana" w:hAnsi="Verdana"/>
          <w:sz w:val="18"/>
          <w:szCs w:val="18"/>
        </w:rPr>
        <w:t>This industry insight article explores how digital supply chain technologies, such as digital twins and predictive analytics, are assisting aerospace and defense firms in improving supply chain resilience, forecasting demand, and modeling production scenarios. It demonstrates how production and inventory plans can be dynamically adjusted by organizations using predictive tools, which offer real-time insights that lower the risk of stockouts and supply disruptions.</w:t>
      </w:r>
    </w:p>
    <w:p w14:paraId="22F26025" w14:textId="77777777" w:rsidR="00AF369E" w:rsidRPr="00AF369E" w:rsidRDefault="00AF369E" w:rsidP="00AF369E">
      <w:pPr>
        <w:pStyle w:val="Heading2"/>
        <w:rPr>
          <w:rFonts w:ascii="Verdana" w:hAnsi="Verdana"/>
        </w:rPr>
      </w:pPr>
    </w:p>
    <w:p w14:paraId="475F3399" w14:textId="77777777" w:rsidR="00AF369E" w:rsidRPr="00AF369E" w:rsidRDefault="00AF369E" w:rsidP="00AF369E">
      <w:pPr>
        <w:pStyle w:val="Heading2"/>
        <w:rPr>
          <w:rFonts w:ascii="Verdana" w:hAnsi="Verdana"/>
          <w:b w:val="0"/>
        </w:rPr>
      </w:pPr>
      <w:r w:rsidRPr="00AF369E">
        <w:rPr>
          <w:rFonts w:ascii="Verdana" w:hAnsi="Verdana"/>
          <w:b w:val="0"/>
        </w:rPr>
        <w:t>Value</w:t>
      </w:r>
    </w:p>
    <w:p w14:paraId="081A4ABF" w14:textId="1F8F3FE6" w:rsidR="00377C28" w:rsidRPr="000A7A1B" w:rsidRDefault="000A7A1B" w:rsidP="000A7A1B">
      <w:pPr>
        <w:rPr>
          <w:rFonts w:ascii="Verdana" w:hAnsi="Verdana"/>
          <w:sz w:val="18"/>
          <w:szCs w:val="18"/>
        </w:rPr>
      </w:pPr>
      <w:r w:rsidRPr="000A7A1B">
        <w:rPr>
          <w:rFonts w:ascii="Verdana" w:hAnsi="Verdana"/>
          <w:sz w:val="18"/>
          <w:szCs w:val="18"/>
        </w:rPr>
        <w:t xml:space="preserve">This source adds specific aerospace industry context to your capstone by showing how predictive analytics and other digital tools are being adopted in aerospace supply chains to </w:t>
      </w:r>
      <w:r w:rsidRPr="000A7A1B">
        <w:rPr>
          <w:rFonts w:ascii="Verdana" w:hAnsi="Verdana"/>
          <w:sz w:val="18"/>
          <w:szCs w:val="18"/>
        </w:rPr>
        <w:lastRenderedPageBreak/>
        <w:t xml:space="preserve">manage risk and improve planning. It supports the real-world relevance of </w:t>
      </w:r>
      <w:r>
        <w:rPr>
          <w:rFonts w:ascii="Verdana" w:hAnsi="Verdana"/>
          <w:sz w:val="18"/>
          <w:szCs w:val="18"/>
        </w:rPr>
        <w:t>my</w:t>
      </w:r>
      <w:r w:rsidRPr="000A7A1B">
        <w:rPr>
          <w:rFonts w:ascii="Verdana" w:hAnsi="Verdana"/>
          <w:sz w:val="18"/>
          <w:szCs w:val="18"/>
        </w:rPr>
        <w:t xml:space="preserve"> work, linking the theoretical predictive analytics approach to practical aerospace applications.</w:t>
      </w:r>
    </w:p>
    <w:sectPr w:rsidR="00377C28" w:rsidRPr="000A7A1B"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057FE" w14:textId="77777777" w:rsidR="00F0061C" w:rsidRDefault="00F0061C" w:rsidP="00AE7AFF">
      <w:r>
        <w:separator/>
      </w:r>
    </w:p>
  </w:endnote>
  <w:endnote w:type="continuationSeparator" w:id="0">
    <w:p w14:paraId="0D7C7E85" w14:textId="77777777" w:rsidR="00F0061C" w:rsidRDefault="00F0061C"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5311D5C5" w14:textId="77777777" w:rsidR="00AE7AFF" w:rsidRDefault="00AE7AFF">
        <w:pPr>
          <w:pStyle w:val="Footer"/>
          <w:jc w:val="right"/>
        </w:pPr>
        <w:r>
          <w:fldChar w:fldCharType="begin"/>
        </w:r>
        <w:r>
          <w:instrText xml:space="preserve"> PAGE   \* MERGEFORMAT </w:instrText>
        </w:r>
        <w:r>
          <w:fldChar w:fldCharType="separate"/>
        </w:r>
        <w:r w:rsidR="00A11766">
          <w:rPr>
            <w:noProof/>
          </w:rPr>
          <w:t>1</w:t>
        </w:r>
        <w:r>
          <w:rPr>
            <w:noProof/>
          </w:rPr>
          <w:fldChar w:fldCharType="end"/>
        </w:r>
      </w:p>
    </w:sdtContent>
  </w:sdt>
  <w:p w14:paraId="6E42D353"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270E" w14:textId="77777777" w:rsidR="00F0061C" w:rsidRDefault="00F0061C" w:rsidP="00AE7AFF">
      <w:r>
        <w:separator/>
      </w:r>
    </w:p>
  </w:footnote>
  <w:footnote w:type="continuationSeparator" w:id="0">
    <w:p w14:paraId="732D89C2" w14:textId="77777777" w:rsidR="00F0061C" w:rsidRDefault="00F0061C"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332653">
    <w:abstractNumId w:val="3"/>
  </w:num>
  <w:num w:numId="2" w16cid:durableId="1223060983">
    <w:abstractNumId w:val="2"/>
  </w:num>
  <w:num w:numId="3" w16cid:durableId="317156144">
    <w:abstractNumId w:val="0"/>
  </w:num>
  <w:num w:numId="4" w16cid:durableId="796412624">
    <w:abstractNumId w:val="1"/>
  </w:num>
  <w:num w:numId="5" w16cid:durableId="2045323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A21B4"/>
    <w:rsid w:val="000A5B63"/>
    <w:rsid w:val="000A7A1B"/>
    <w:rsid w:val="000B4B0D"/>
    <w:rsid w:val="000C6FDB"/>
    <w:rsid w:val="000D5E56"/>
    <w:rsid w:val="000D6AF7"/>
    <w:rsid w:val="000F604C"/>
    <w:rsid w:val="0010160C"/>
    <w:rsid w:val="00106BE7"/>
    <w:rsid w:val="00142950"/>
    <w:rsid w:val="00154DF9"/>
    <w:rsid w:val="00181974"/>
    <w:rsid w:val="00197576"/>
    <w:rsid w:val="001A3D1D"/>
    <w:rsid w:val="00217119"/>
    <w:rsid w:val="00245F4E"/>
    <w:rsid w:val="00266030"/>
    <w:rsid w:val="00272660"/>
    <w:rsid w:val="0028140A"/>
    <w:rsid w:val="002D4997"/>
    <w:rsid w:val="002F4642"/>
    <w:rsid w:val="002F5920"/>
    <w:rsid w:val="00315308"/>
    <w:rsid w:val="003312D9"/>
    <w:rsid w:val="00360C4A"/>
    <w:rsid w:val="00362DCE"/>
    <w:rsid w:val="00377C28"/>
    <w:rsid w:val="003902FD"/>
    <w:rsid w:val="003A6106"/>
    <w:rsid w:val="003B643A"/>
    <w:rsid w:val="003F21D1"/>
    <w:rsid w:val="00427E8B"/>
    <w:rsid w:val="004315A0"/>
    <w:rsid w:val="004421E6"/>
    <w:rsid w:val="00446670"/>
    <w:rsid w:val="004712DA"/>
    <w:rsid w:val="00484374"/>
    <w:rsid w:val="00484BCD"/>
    <w:rsid w:val="004876D3"/>
    <w:rsid w:val="00490515"/>
    <w:rsid w:val="004968B2"/>
    <w:rsid w:val="004C3BD5"/>
    <w:rsid w:val="004D24B3"/>
    <w:rsid w:val="004E3528"/>
    <w:rsid w:val="004F269D"/>
    <w:rsid w:val="00500B66"/>
    <w:rsid w:val="00527835"/>
    <w:rsid w:val="00563EE3"/>
    <w:rsid w:val="00592A2D"/>
    <w:rsid w:val="005932A0"/>
    <w:rsid w:val="005E1EBF"/>
    <w:rsid w:val="006440FA"/>
    <w:rsid w:val="006A3BFC"/>
    <w:rsid w:val="006A4502"/>
    <w:rsid w:val="00703FB6"/>
    <w:rsid w:val="007A7F77"/>
    <w:rsid w:val="007B5D16"/>
    <w:rsid w:val="007C7F55"/>
    <w:rsid w:val="007D259D"/>
    <w:rsid w:val="007F00AB"/>
    <w:rsid w:val="007F03E1"/>
    <w:rsid w:val="00801985"/>
    <w:rsid w:val="00832093"/>
    <w:rsid w:val="00866F54"/>
    <w:rsid w:val="00872EAB"/>
    <w:rsid w:val="0087576C"/>
    <w:rsid w:val="008B5586"/>
    <w:rsid w:val="008D1B3B"/>
    <w:rsid w:val="008E67F7"/>
    <w:rsid w:val="00942535"/>
    <w:rsid w:val="009937E2"/>
    <w:rsid w:val="009F6480"/>
    <w:rsid w:val="00A11766"/>
    <w:rsid w:val="00A24CE3"/>
    <w:rsid w:val="00A36476"/>
    <w:rsid w:val="00A66F17"/>
    <w:rsid w:val="00A87BBD"/>
    <w:rsid w:val="00A92FAB"/>
    <w:rsid w:val="00A95BD9"/>
    <w:rsid w:val="00AA0B98"/>
    <w:rsid w:val="00AD1DD6"/>
    <w:rsid w:val="00AE7AFF"/>
    <w:rsid w:val="00AF369E"/>
    <w:rsid w:val="00B020CF"/>
    <w:rsid w:val="00B07FCB"/>
    <w:rsid w:val="00B23131"/>
    <w:rsid w:val="00B41CC4"/>
    <w:rsid w:val="00B442EB"/>
    <w:rsid w:val="00B670CF"/>
    <w:rsid w:val="00B81C8D"/>
    <w:rsid w:val="00BA3C9F"/>
    <w:rsid w:val="00BE0812"/>
    <w:rsid w:val="00BF084A"/>
    <w:rsid w:val="00C00D08"/>
    <w:rsid w:val="00C21962"/>
    <w:rsid w:val="00C661F1"/>
    <w:rsid w:val="00C7077A"/>
    <w:rsid w:val="00C75791"/>
    <w:rsid w:val="00C8049E"/>
    <w:rsid w:val="00C87F83"/>
    <w:rsid w:val="00CA018F"/>
    <w:rsid w:val="00CA0695"/>
    <w:rsid w:val="00CA1198"/>
    <w:rsid w:val="00CB2592"/>
    <w:rsid w:val="00CD0E3E"/>
    <w:rsid w:val="00CF50CE"/>
    <w:rsid w:val="00D418DA"/>
    <w:rsid w:val="00D8472F"/>
    <w:rsid w:val="00DB14BE"/>
    <w:rsid w:val="00DB3624"/>
    <w:rsid w:val="00DD2BB4"/>
    <w:rsid w:val="00DF4809"/>
    <w:rsid w:val="00E10E7A"/>
    <w:rsid w:val="00E66DA8"/>
    <w:rsid w:val="00F0061C"/>
    <w:rsid w:val="00F27472"/>
    <w:rsid w:val="00F92874"/>
    <w:rsid w:val="00FA5FA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B802D"/>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uiPriority w:val="34"/>
    <w:qFormat/>
    <w:rsid w:val="00AA0B98"/>
    <w:pPr>
      <w:spacing w:after="200" w:line="360" w:lineRule="auto"/>
      <w:ind w:left="720"/>
      <w:contextualSpacing/>
    </w:pPr>
    <w:rPr>
      <w:rFonts w:ascii="Arial" w:eastAsia="Calibri" w:hAnsi="Arial"/>
      <w:sz w:val="20"/>
      <w:szCs w:val="22"/>
    </w:rPr>
  </w:style>
  <w:style w:type="character" w:customStyle="1" w:styleId="ms-vb">
    <w:name w:val="ms-vb"/>
    <w:basedOn w:val="DefaultParagraphFont"/>
    <w:rsid w:val="000C6FDB"/>
  </w:style>
  <w:style w:type="paragraph" w:customStyle="1" w:styleId="APALevel2">
    <w:name w:val="APA Level 2"/>
    <w:basedOn w:val="APALevel1"/>
    <w:next w:val="BodyText"/>
    <w:rsid w:val="00AF369E"/>
    <w:pPr>
      <w:widowControl w:val="0"/>
      <w:adjustRightInd w:val="0"/>
      <w:jc w:val="left"/>
      <w:outlineLvl w:val="2"/>
    </w:pPr>
    <w:rPr>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062387">
      <w:bodyDiv w:val="1"/>
      <w:marLeft w:val="0"/>
      <w:marRight w:val="0"/>
      <w:marTop w:val="0"/>
      <w:marBottom w:val="0"/>
      <w:divBdr>
        <w:top w:val="none" w:sz="0" w:space="0" w:color="auto"/>
        <w:left w:val="none" w:sz="0" w:space="0" w:color="auto"/>
        <w:bottom w:val="none" w:sz="0" w:space="0" w:color="auto"/>
        <w:right w:val="none" w:sz="0" w:space="0" w:color="auto"/>
      </w:divBdr>
    </w:div>
    <w:div w:id="37265325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36</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2822</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4</cp:revision>
  <dcterms:created xsi:type="dcterms:W3CDTF">2024-02-22T23:17:00Z</dcterms:created>
  <dcterms:modified xsi:type="dcterms:W3CDTF">2026-01-29T05:19:00Z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986d4f0e-aa6c-4dfb-aa08-c7053030bd68</vt:lpwstr>
  </property>
</Properties>
</file>