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jc w:val="center"/>
      </w:pPr>
      <w:r>
        <w:t xml:space="preserve">Політика повернення коштів за </w:t>
      </w:r>
      <w:r>
        <w:t>послуги</w:t>
      </w:r>
    </w:p>
    <w:p>
      <w:pPr>
        <w:spacing w:after="280"/>
        <w:jc w:val="center"/>
      </w:pPr>
      <w:r>
        <w:t>ПО "ІПРМ" | Чинна редакція від 12 березня 2026 року</w:t>
      </w:r>
    </w:p>
    <w:p>
      <w:pPr>
        <w:pStyle w:val="2"/>
      </w:pPr>
      <w:r>
        <w:t>1. Загальні положення</w:t>
      </w:r>
    </w:p>
    <w:p>
      <w:r>
        <w:rPr>
          <w:b/>
        </w:rPr>
        <w:t>1.1</w:t>
      </w:r>
      <w:r>
        <w:t xml:space="preserve"> Ця Політика повернення коштів за послуги (далі — Політика) визначає умови та порядок повернення коштів, сплачених за послуги, що надаються ПО "ІПРМ" (далі — Організатор).</w:t>
      </w:r>
    </w:p>
    <w:p>
      <w:r>
        <w:rPr>
          <w:b/>
        </w:rPr>
        <w:t>1.2</w:t>
      </w:r>
      <w:r>
        <w:t xml:space="preserve"> Політика поширюється на такі види послуг:</w:t>
      </w:r>
    </w:p>
    <w:p>
      <w:pPr>
        <w:spacing w:after="40"/>
        <w:ind w:left="567" w:hanging="283"/>
      </w:pPr>
      <w:r>
        <w:t xml:space="preserve">– </w:t>
      </w:r>
      <w:r>
        <w:t>семінари;</w:t>
      </w:r>
    </w:p>
    <w:p>
      <w:pPr>
        <w:spacing w:after="40"/>
        <w:ind w:left="567" w:hanging="283"/>
      </w:pPr>
      <w:r>
        <w:t xml:space="preserve">– </w:t>
      </w:r>
      <w:r>
        <w:t>вебінари;</w:t>
      </w:r>
    </w:p>
    <w:p>
      <w:pPr>
        <w:spacing w:after="40"/>
        <w:ind w:left="567" w:hanging="283"/>
      </w:pPr>
      <w:r>
        <w:t xml:space="preserve">– </w:t>
      </w:r>
      <w:r>
        <w:t>конференції;</w:t>
      </w:r>
    </w:p>
    <w:p>
      <w:pPr>
        <w:spacing w:after="40"/>
        <w:ind w:left="567" w:hanging="283"/>
      </w:pPr>
      <w:r>
        <w:t xml:space="preserve">– </w:t>
      </w:r>
      <w:r>
        <w:t>курси підвищення кваліфікації;</w:t>
      </w:r>
    </w:p>
    <w:p>
      <w:pPr>
        <w:spacing w:after="40"/>
        <w:ind w:left="567" w:hanging="283"/>
      </w:pPr>
      <w:r>
        <w:t xml:space="preserve">– </w:t>
      </w:r>
      <w:r>
        <w:t>цифрові продукти (відеозаписи, навчальні матеріали, методичні посібники в електронному форматі).</w:t>
      </w:r>
    </w:p>
    <w:p>
      <w:r>
        <w:rPr>
          <w:b/>
        </w:rPr>
        <w:t>1.3</w:t>
      </w:r>
      <w:r>
        <w:t xml:space="preserve"> Оплачуючи послугу, учасник підтверджує, що ознайомлений з умовами цієї Політики та погоджується з ними.</w:t>
      </w:r>
    </w:p>
    <w:p>
      <w:r>
        <w:rPr>
          <w:b/>
        </w:rPr>
        <w:t>1.4</w:t>
      </w:r>
      <w:r>
        <w:t xml:space="preserve"> Ця Політика розроблена відповідно до Цивільного кодексу України, Закону України "Про захист прав споживачів" та інших нормативно-правових актів, що регулюють відносини у сфері надання послуг.</w:t>
      </w:r>
    </w:p>
    <w:p>
      <w:pPr>
        <w:pStyle w:val="2"/>
      </w:pPr>
      <w:r>
        <w:t>2. Скасування заходу організатором</w:t>
      </w:r>
    </w:p>
    <w:p>
      <w:r>
        <w:rPr>
          <w:b/>
        </w:rPr>
        <w:t>2.1</w:t>
      </w:r>
      <w:r>
        <w:t xml:space="preserve"> У разі скасування заходу з ініціативи Організатора, учасник має право на повне повернення сплачених коштів у розмірі 100% вартості послуги.</w:t>
      </w:r>
    </w:p>
    <w:p>
      <w:r>
        <w:rPr>
          <w:b/>
        </w:rPr>
        <w:t>2.2</w:t>
      </w:r>
      <w:r>
        <w:t xml:space="preserve"> Організатор зобов'язаний повідомити учасників про скасування заходу не пізніше ніж за 3 (три) робочі дні до запланованої дати проведення, за винятком випадків форс-мажорних обставин.</w:t>
      </w:r>
    </w:p>
    <w:p>
      <w:r>
        <w:rPr>
          <w:b/>
        </w:rPr>
        <w:t>2.3</w:t>
      </w:r>
      <w:r>
        <w:t xml:space="preserve"> Повернення коштів здійснюється протягом 14 (чотирнадцяти) календарних днів з дати повідомлення учасника про скасування заходу.</w:t>
      </w:r>
    </w:p>
    <w:p>
      <w:r>
        <w:rPr>
          <w:b/>
        </w:rPr>
        <w:t>2.4</w:t>
      </w:r>
      <w:r>
        <w:t xml:space="preserve"> Для отримання повернення коштів учасник повинен подати відповідну заявку згідно з порядком, визначеним у Розділі 6 цієї Політики.</w:t>
      </w:r>
    </w:p>
    <w:p>
      <w:pPr>
        <w:pStyle w:val="2"/>
      </w:pPr>
      <w:r>
        <w:t>3. Перенесення заходу</w:t>
      </w:r>
    </w:p>
    <w:p>
      <w:r>
        <w:rPr>
          <w:b/>
        </w:rPr>
        <w:t>3.1</w:t>
      </w:r>
      <w:r>
        <w:t xml:space="preserve"> У разі перенесення заходу на іншу дату Організатор зобов'язаний повідомити учасників не пізніше ніж за 3 (три) робочі дні до початкової дати проведення.</w:t>
      </w:r>
    </w:p>
    <w:p>
      <w:r>
        <w:rPr>
          <w:b/>
        </w:rPr>
        <w:t>3.2</w:t>
      </w:r>
      <w:r>
        <w:t xml:space="preserve"> Учасник, повідомлений про перенесення заходу, має право на вибір:</w:t>
      </w:r>
    </w:p>
    <w:p>
      <w:pPr>
        <w:spacing w:after="40"/>
        <w:ind w:left="567" w:hanging="283"/>
      </w:pPr>
      <w:r>
        <w:t xml:space="preserve">– </w:t>
      </w:r>
      <w:r>
        <w:t>взяти участь у заході в нову визначену дату без додаткової оплати;</w:t>
      </w:r>
    </w:p>
    <w:p>
      <w:pPr>
        <w:spacing w:after="40"/>
        <w:ind w:left="567" w:hanging="283"/>
      </w:pPr>
      <w:r>
        <w:t xml:space="preserve">– </w:t>
      </w:r>
      <w:r>
        <w:t>відмовитися від участі та отримати повне повернення сплачених коштів у розмірі 100% вартості послуги.</w:t>
      </w:r>
    </w:p>
    <w:p>
      <w:r>
        <w:rPr>
          <w:b/>
        </w:rPr>
        <w:t>3.3</w:t>
      </w:r>
      <w:r>
        <w:t xml:space="preserve"> Заявку на повернення коштів у зв'язку з перенесенням заходу необхідно подати не пізніше ніж за 2 (два) робочі дні до нової дати проведення заходу.</w:t>
      </w:r>
    </w:p>
    <w:p>
      <w:pPr>
        <w:pStyle w:val="2"/>
      </w:pPr>
      <w:r>
        <w:t>4. Відмова учасника від участі</w:t>
      </w:r>
    </w:p>
    <w:p>
      <w:r>
        <w:rPr>
          <w:b/>
        </w:rPr>
        <w:t>4.1</w:t>
      </w:r>
      <w:r>
        <w:t xml:space="preserve"> Учасник має право відмовитися від участі у заході за власною ініціативою. Розмір повернення коштів визначається з урахуванням фактично понесених Організатором витрат: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Строк подання заявки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Повернення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Утримання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Більше ніж за 7 днів до заходу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100%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0%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Від 3 до 7 днів до заходу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50%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50%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Менше ніж за 3 дні до заходу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25%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75%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Неявка без попередньої відмови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0%</w:t>
            </w:r>
          </w:p>
        </w:tc>
        <w:tc>
          <w:tcPr>
            <w:tcW w:type="dxa" w:w="3402"/>
          </w:tcPr>
          <w:p>
            <w:pPr>
              <w:spacing w:after="40"/>
              <w:jc w:val="left"/>
            </w:pPr>
            <w:r>
              <w:t>100%</w:t>
            </w:r>
          </w:p>
        </w:tc>
      </w:tr>
    </w:tbl>
    <w:p/>
    <w:p>
      <w:r>
        <w:rPr>
          <w:b/>
        </w:rPr>
        <w:t>4.2</w:t>
      </w:r>
      <w:r>
        <w:t xml:space="preserve"> Датою подання заявки вважається дата отримання Організатором відповідного повідомлення від учасника на електронну адресу, зазначену в Розділі 6 цієї Політики.</w:t>
      </w:r>
    </w:p>
    <w:p>
      <w:r>
        <w:rPr>
          <w:b/>
        </w:rPr>
        <w:t>4.3</w:t>
      </w:r>
      <w:r>
        <w:t xml:space="preserve"> У разі якщо учасник зареєструвався, здійснив оплату, захід відбувся, але учасник не з'явився без попередньої відмови, повернення коштів не здійснюється.</w:t>
      </w:r>
    </w:p>
    <w:p>
      <w:pPr>
        <w:pStyle w:val="2"/>
      </w:pPr>
      <w:r>
        <w:t>5. Цифрові продукти</w:t>
      </w:r>
    </w:p>
    <w:p>
      <w:r>
        <w:rPr>
          <w:b/>
        </w:rPr>
        <w:t>5.1</w:t>
      </w:r>
      <w:r>
        <w:t xml:space="preserve"> Повернення коштів за цифрові продукти (відеозаписи, навчальні матеріали, методичні посібники в електронному форматі) не здійснюється після надання доступу до відповідного контенту.</w:t>
      </w:r>
    </w:p>
    <w:p>
      <w:r>
        <w:rPr>
          <w:b/>
        </w:rPr>
        <w:t>5.2</w:t>
      </w:r>
      <w:r>
        <w:t xml:space="preserve"> Послуга з надання цифрового продукту вважається наданою з моменту відкриття доступу до матеріалів в особистому кабінеті учасника на веб-сайті </w:t>
      </w:r>
      <w:r>
        <w:t>plasma-regen.com</w:t>
      </w:r>
      <w:r>
        <w:t>.</w:t>
      </w:r>
    </w:p>
    <w:p>
      <w:r>
        <w:rPr>
          <w:b/>
        </w:rPr>
        <w:t>5.3</w:t>
      </w:r>
      <w:r>
        <w:t xml:space="preserve"> Зазначене обмеження встановлено відповідно до Закону України "Про електронну комерцію" No 3321-IX, який передбачає, що споживач не може відмовитися від договору про надання послуг після їх повного виконання, якщо виконання було розпочато за попередньою прямою згодою споживача.</w:t>
      </w:r>
    </w:p>
    <w:p>
      <w:r>
        <w:rPr>
          <w:b/>
        </w:rPr>
        <w:t>5.4</w:t>
      </w:r>
      <w:r>
        <w:t xml:space="preserve"> До моменту надання доступу до цифрового продукту учасник має право відмовитися від послуги та отримати повне повернення коштів.</w:t>
      </w:r>
    </w:p>
    <w:p>
      <w:pPr>
        <w:pStyle w:val="2"/>
      </w:pPr>
      <w:r>
        <w:t>6. Порядок подання заявки на повернення</w:t>
      </w:r>
    </w:p>
    <w:p>
      <w:r>
        <w:rPr>
          <w:b/>
        </w:rPr>
        <w:t>6.1</w:t>
      </w:r>
      <w:r>
        <w:t xml:space="preserve"> Для подання заявки на повернення коштів учасник повинен звернутися: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Електронна пошта: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iprm@ukr.net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Телефон: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+380 96 090 0007</w:t>
            </w:r>
          </w:p>
        </w:tc>
      </w:tr>
    </w:tbl>
    <w:p/>
    <w:p>
      <w:r>
        <w:rPr>
          <w:b/>
        </w:rPr>
        <w:t>6.2</w:t>
      </w:r>
      <w:r>
        <w:t xml:space="preserve"> Заявка на повернення коштів повинна містити:</w:t>
      </w:r>
    </w:p>
    <w:p>
      <w:pPr>
        <w:spacing w:after="40"/>
        <w:ind w:left="567" w:hanging="283"/>
      </w:pPr>
      <w:r>
        <w:t xml:space="preserve">– </w:t>
      </w:r>
      <w:r>
        <w:t>прізвище, ім'я, по батькові учасника;</w:t>
      </w:r>
    </w:p>
    <w:p>
      <w:pPr>
        <w:spacing w:after="40"/>
        <w:ind w:left="567" w:hanging="283"/>
      </w:pPr>
      <w:r>
        <w:t xml:space="preserve">– </w:t>
      </w:r>
      <w:r>
        <w:t>назву заходу або цифрового продукту;</w:t>
      </w:r>
    </w:p>
    <w:p>
      <w:pPr>
        <w:spacing w:after="40"/>
        <w:ind w:left="567" w:hanging="283"/>
      </w:pPr>
      <w:r>
        <w:t xml:space="preserve">– </w:t>
      </w:r>
      <w:r>
        <w:t>дату оплати та суму;</w:t>
      </w:r>
    </w:p>
    <w:p>
      <w:pPr>
        <w:spacing w:after="40"/>
        <w:ind w:left="567" w:hanging="283"/>
      </w:pPr>
      <w:r>
        <w:t xml:space="preserve">– </w:t>
      </w:r>
      <w:r>
        <w:t>підтвердження оплати (квитанція, банківська виписка або скріншот);</w:t>
      </w:r>
    </w:p>
    <w:p>
      <w:pPr>
        <w:spacing w:after="40"/>
        <w:ind w:left="567" w:hanging="283"/>
      </w:pPr>
      <w:r>
        <w:t xml:space="preserve">– </w:t>
      </w:r>
      <w:r>
        <w:t>причину відмови від участі;</w:t>
      </w:r>
    </w:p>
    <w:p>
      <w:pPr>
        <w:spacing w:after="40"/>
        <w:ind w:left="567" w:hanging="283"/>
      </w:pPr>
      <w:r>
        <w:t xml:space="preserve">– </w:t>
      </w:r>
      <w:r>
        <w:t>реквізити для повернення коштів (у разі якщо повернення має бути здійснено на інший рахунок).</w:t>
      </w:r>
    </w:p>
    <w:p>
      <w:r>
        <w:rPr>
          <w:b/>
        </w:rPr>
        <w:t>6.3</w:t>
      </w:r>
      <w:r>
        <w:t xml:space="preserve"> Організатор зобов'язаний розглянути заявку та надати відповідь протягом 3 (трьох) робочих днів з дати її отримання.</w:t>
      </w:r>
    </w:p>
    <w:p>
      <w:pPr>
        <w:pStyle w:val="2"/>
      </w:pPr>
      <w:r>
        <w:t>7. Строки повернення коштів</w:t>
      </w:r>
    </w:p>
    <w:p>
      <w:r>
        <w:rPr>
          <w:b/>
        </w:rPr>
        <w:t>7.1</w:t>
      </w:r>
      <w:r>
        <w:t xml:space="preserve"> Повернення коштів здійснюється протягом 14 (чотирнадцяти) календарних днів з дати прийняття рішення про повернення.</w:t>
      </w:r>
    </w:p>
    <w:p>
      <w:r>
        <w:rPr>
          <w:b/>
        </w:rPr>
        <w:t>7.2</w:t>
      </w:r>
      <w:r>
        <w:t xml:space="preserve"> Кошти повертаються тим самим способом оплати, яким було здійснено первинний платіж, якщо інше не узгоджено з учасником.</w:t>
      </w:r>
    </w:p>
    <w:p>
      <w:r>
        <w:rPr>
          <w:b/>
        </w:rPr>
        <w:t>7.3</w:t>
      </w:r>
      <w:r>
        <w:t xml:space="preserve"> У разі оплати через платіжну систему LiqPay повернення здійснюється на картку, з якої було здійснено оплату. Строк зарахування коштів на рахунок учасника може залежати від умов банку-емітента картки.</w:t>
      </w:r>
    </w:p>
    <w:p>
      <w:pPr>
        <w:pStyle w:val="2"/>
      </w:pPr>
      <w:r>
        <w:t>8. Контакти ПО "ІПРМ"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Повне найменування: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ПО "ІПРМ"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Код ЄДРПОУ: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45871060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Юридична адреса: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02002, Україна, місто Київ, вулиця Микільсько-слобідська, будинок 2б, квартира 246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Електронна пошта: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iprm@ukr.net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Телефон: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+380 96 090 0007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Веб-сайт: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https://plasma-regen.com</w:t>
            </w:r>
          </w:p>
        </w:tc>
      </w:tr>
    </w:tbl>
    <w:p/>
    <w:p>
      <w:pPr>
        <w:spacing w:before="200"/>
      </w:pPr>
      <w:r>
        <w:rPr>
          <w:b/>
        </w:rPr>
        <w:t>Ця Політика набуває чинності з 12 березня 2026 року та діє до моменту її заміни оновленою версією, про що учасники будуть повідомлені через веб-сайт plasma-regen.com.</w:t>
      </w:r>
    </w:p>
    <w:p>
      <w:pPr>
        <w:spacing w:after="0"/>
      </w:pPr>
    </w:p>
    <w:p>
      <w:pPr>
        <w:keepNext/>
        <w:spacing w:after="0"/>
        <w:jc w:val="left"/>
      </w:pPr>
      <w:r>
        <w:rPr>
          <w:b/>
        </w:rPr>
        <w:t>ПО "ІПРМ"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2"/>
        <w:gridCol w:w="3402"/>
        <w:gridCol w:w="3402"/>
      </w:tblGrid>
      <w:tr>
        <w:tc>
          <w:tcPr>
            <w:tcW w:type="dxa" w:w="2551"/>
            <w:vAlign w:val="bottom"/>
          </w:tcPr>
          <w:p>
            <w:pPr>
              <w:spacing w:after="0"/>
              <w:jc w:val="left"/>
            </w:pPr>
            <w:r>
              <w:t>Ректор</w:t>
            </w:r>
          </w:p>
        </w:tc>
        <w:tc>
          <w:tcPr>
            <w:tcW w:type="dxa" w:w="3118"/>
            <w:vAlign w:val="bottom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461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46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bottom"/>
          </w:tcPr>
          <w:p>
            <w:pPr>
              <w:spacing w:after="0"/>
              <w:jc w:val="right"/>
            </w:pPr>
            <w:r>
              <w:t>Заболотня Д. О.</w:t>
            </w:r>
          </w:p>
        </w:tc>
      </w:tr>
    </w:tbl>
    <w:sectPr w:rsidR="00621E8F" w:rsidRPr="00621E8F" w:rsidSect="00621E8F">
      <w:headerReference w:type="default" r:id="rId12"/>
      <w:footerReference w:type="default" r:id="rId8"/>
      <w:pgSz w:w="11906" w:h="16838"/>
      <w:pgMar w:top="1701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CC80" w14:textId="77777777" w:rsidR="007F1FE1" w:rsidRDefault="007F1FE1" w:rsidP="00124598">
      <w:pPr>
        <w:spacing w:after="0" w:line="240" w:lineRule="auto"/>
      </w:pPr>
      <w:r>
        <w:separator/>
      </w:r>
    </w:p>
  </w:endnote>
  <w:endnote w:type="continuationSeparator" w:id="0">
    <w:p w14:paraId="429E463E" w14:textId="77777777" w:rsidR="007F1FE1" w:rsidRDefault="007F1FE1" w:rsidP="0012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rFonts w:ascii="Times New Roman" w:hAnsi="Times New Roman" w:cs="Times New Roman"/>
          <w:sz w:val="20"/>
        </w:rPr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E5FF" w14:textId="77777777" w:rsidR="007F1FE1" w:rsidRDefault="007F1FE1" w:rsidP="00124598">
      <w:pPr>
        <w:spacing w:after="0" w:line="240" w:lineRule="auto"/>
      </w:pPr>
      <w:r>
        <w:separator/>
      </w:r>
    </w:p>
  </w:footnote>
  <w:footnote w:type="continuationSeparator" w:id="0">
    <w:p w14:paraId="02BABB22" w14:textId="77777777" w:rsidR="007F1FE1" w:rsidRDefault="007F1FE1" w:rsidP="0012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A815" w14:textId="77777777" w:rsidR="00124598" w:rsidRDefault="00124598" w:rsidP="00124598">
    <w:pPr>
      <w:pStyle w:val="a7"/>
      <w:jc w:val="right"/>
      <w:rPr>
        <w:rFonts w:ascii="Arial" w:hAnsi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84A580" wp14:editId="10CDE4D0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4D9E">
      <w:rPr>
        <w:rFonts w:ascii="Arial" w:hAnsi="Arial"/>
        <w:sz w:val="20"/>
        <w:szCs w:val="20"/>
        <w:lang w:val="ru-RU"/>
      </w:rPr>
      <w:t>ЄДРПОУ: 45871060</w:t>
    </w:r>
  </w:p>
  <w:p w14:paraId="7E0DD929" w14:textId="77777777" w:rsidR="00124598" w:rsidRPr="00743C2A" w:rsidRDefault="00124598" w:rsidP="00124598">
    <w:pPr>
      <w:pStyle w:val="a7"/>
      <w:jc w:val="right"/>
      <w:rPr>
        <w:rFonts w:ascii="Arial" w:hAnsi="Arial"/>
        <w:sz w:val="20"/>
      </w:rPr>
    </w:pPr>
    <w:r w:rsidRPr="00294D9E">
      <w:rPr>
        <w:rFonts w:ascii="Arial" w:hAnsi="Arial"/>
        <w:sz w:val="20"/>
        <w:lang w:val="ru-RU"/>
      </w:rPr>
      <w:t>Україна,</w:t>
    </w:r>
    <w:r>
      <w:rPr>
        <w:rFonts w:ascii="Arial" w:hAnsi="Arial"/>
        <w:sz w:val="20"/>
      </w:rPr>
      <w:t xml:space="preserve"> 02002</w:t>
    </w:r>
  </w:p>
  <w:p w14:paraId="7450E830" w14:textId="77777777" w:rsidR="00124598" w:rsidRPr="00294D9E" w:rsidRDefault="00124598" w:rsidP="00124598">
    <w:pPr>
      <w:pStyle w:val="a7"/>
      <w:jc w:val="right"/>
      <w:rPr>
        <w:rFonts w:ascii="Arial" w:hAnsi="Arial"/>
        <w:sz w:val="20"/>
        <w:lang w:val="ru-RU"/>
      </w:rPr>
    </w:pPr>
    <w:r w:rsidRPr="00294D9E">
      <w:rPr>
        <w:rFonts w:ascii="Arial" w:hAnsi="Arial"/>
        <w:sz w:val="20"/>
        <w:lang w:val="ru-RU"/>
      </w:rPr>
      <w:t xml:space="preserve">м. Київ, </w:t>
    </w:r>
    <w:proofErr w:type="spellStart"/>
    <w:r w:rsidRPr="00294D9E">
      <w:rPr>
        <w:rFonts w:ascii="Arial" w:hAnsi="Arial"/>
        <w:sz w:val="20"/>
        <w:lang w:val="ru-RU"/>
      </w:rPr>
      <w:t>вул</w:t>
    </w:r>
    <w:proofErr w:type="spellEnd"/>
    <w:r w:rsidRPr="00294D9E">
      <w:rPr>
        <w:rFonts w:ascii="Arial" w:hAnsi="Arial"/>
        <w:sz w:val="20"/>
        <w:lang w:val="ru-RU"/>
      </w:rPr>
      <w:t xml:space="preserve">. </w:t>
    </w:r>
    <w:proofErr w:type="spellStart"/>
    <w:r w:rsidRPr="00294D9E">
      <w:rPr>
        <w:rFonts w:ascii="Arial" w:hAnsi="Arial"/>
        <w:sz w:val="20"/>
        <w:lang w:val="ru-RU"/>
      </w:rPr>
      <w:t>Микільсько-Слобідська</w:t>
    </w:r>
    <w:proofErr w:type="spellEnd"/>
    <w:r w:rsidRPr="00294D9E">
      <w:rPr>
        <w:rFonts w:ascii="Arial" w:hAnsi="Arial"/>
        <w:sz w:val="20"/>
        <w:lang w:val="ru-RU"/>
      </w:rPr>
      <w:t>, буд. 2-Б, кв. 246</w:t>
    </w:r>
    <w:r w:rsidRPr="00294D9E">
      <w:rPr>
        <w:rFonts w:ascii="Arial" w:hAnsi="Arial"/>
        <w:sz w:val="20"/>
        <w:lang w:val="ru-RU"/>
      </w:rPr>
      <w:br/>
    </w:r>
    <w:hyperlink r:id="rId2" w:history="1">
      <w:r w:rsidRPr="00934928">
        <w:rPr>
          <w:rStyle w:val="ab"/>
          <w:rFonts w:ascii="Arial" w:hAnsi="Arial"/>
          <w:sz w:val="20"/>
          <w:lang w:val="en-US"/>
        </w:rPr>
        <w:t>iprm</w:t>
      </w:r>
      <w:r w:rsidRPr="00294D9E">
        <w:rPr>
          <w:rStyle w:val="ab"/>
          <w:rFonts w:ascii="Arial" w:hAnsi="Arial"/>
          <w:sz w:val="20"/>
          <w:lang w:val="ru-RU"/>
        </w:rPr>
        <w:t>@</w:t>
      </w:r>
      <w:r w:rsidRPr="00934928">
        <w:rPr>
          <w:rStyle w:val="ab"/>
          <w:rFonts w:ascii="Arial" w:hAnsi="Arial"/>
          <w:sz w:val="20"/>
          <w:lang w:val="en-US"/>
        </w:rPr>
        <w:t>ukr</w:t>
      </w:r>
      <w:r w:rsidRPr="00294D9E">
        <w:rPr>
          <w:rStyle w:val="ab"/>
          <w:rFonts w:ascii="Arial" w:hAnsi="Arial"/>
          <w:sz w:val="20"/>
          <w:lang w:val="ru-RU"/>
        </w:rPr>
        <w:t>.</w:t>
      </w:r>
      <w:r w:rsidRPr="00934928">
        <w:rPr>
          <w:rStyle w:val="ab"/>
          <w:rFonts w:ascii="Arial" w:hAnsi="Arial"/>
          <w:sz w:val="20"/>
          <w:lang w:val="en-US"/>
        </w:rPr>
        <w:t>net</w:t>
      </w:r>
    </w:hyperlink>
    <w:r w:rsidRPr="00294D9E">
      <w:rPr>
        <w:rFonts w:ascii="Arial" w:hAnsi="Arial"/>
        <w:sz w:val="20"/>
        <w:lang w:val="ru-RU"/>
      </w:rPr>
      <w:t xml:space="preserve"> тел.: +38 (050) 213-09-19</w:t>
    </w:r>
  </w:p>
  <w:p w14:paraId="5EE861A9" w14:textId="7AC6CE02" w:rsidR="00124598" w:rsidRPr="00966895" w:rsidRDefault="00124598" w:rsidP="00966895">
    <w:pPr>
      <w:pStyle w:val="a7"/>
      <w:jc w:val="right"/>
      <w:rPr>
        <w:rFonts w:ascii="Arial" w:hAnsi="Arial"/>
        <w:color w:val="5B9BD5" w:themeColor="accent5"/>
        <w:sz w:val="20"/>
        <w:u w:val="single"/>
        <w:lang w:eastAsia="zh-CN"/>
      </w:rPr>
    </w:pPr>
    <w:r w:rsidRPr="00966895">
      <w:rPr>
        <w:rFonts w:ascii="Arial" w:hAnsi="Arial"/>
        <w:color w:val="5B9BD5" w:themeColor="accent5"/>
        <w:sz w:val="20"/>
        <w:u w:val="single"/>
      </w:rPr>
      <w:t>plasma-regen.com</w:t>
    </w:r>
  </w:p>
  <w:p w14:paraId="3159FAC6" w14:textId="77777777" w:rsidR="00124598" w:rsidRDefault="0012459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F84"/>
    <w:rsid w:val="00040673"/>
    <w:rsid w:val="000C62F8"/>
    <w:rsid w:val="00124598"/>
    <w:rsid w:val="00333ADB"/>
    <w:rsid w:val="00423557"/>
    <w:rsid w:val="004376C9"/>
    <w:rsid w:val="004D363D"/>
    <w:rsid w:val="00621E8F"/>
    <w:rsid w:val="007F1FE1"/>
    <w:rsid w:val="00856F84"/>
    <w:rsid w:val="00966895"/>
    <w:rsid w:val="00D5132E"/>
    <w:rsid w:val="00D54C83"/>
    <w:rsid w:val="00DB3A57"/>
    <w:rsid w:val="00F5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72C1"/>
  <w15:docId w15:val="{BBE46976-3D3D-45CE-B6A3-1900A5DE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uk-UA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1">
    <w:name w:val="heading 1"/>
    <w:basedOn w:val="a"/>
    <w:next w:val="a"/>
    <w:pPr>
      <w:keepNext/>
      <w:keepLines/>
      <w:spacing w:before="0" w:after="24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  <w:szCs w:val="48"/>
    </w:rPr>
  </w:style>
  <w:style w:type="paragraph" w:styleId="2">
    <w:name w:val="heading 2"/>
    <w:basedOn w:val="a"/>
    <w:next w:val="a"/>
    <w:pPr>
      <w:keepNext/>
      <w:keepLines/>
      <w:spacing w:before="280" w:after="12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6"/>
      <w:szCs w:val="36"/>
    </w:rPr>
  </w:style>
  <w:style w:type="paragraph" w:styleId="3">
    <w:name w:val="heading 3"/>
    <w:basedOn w:val="a"/>
    <w:next w:val="a"/>
    <w:pPr>
      <w:keepNext/>
      <w:keepLines/>
      <w:spacing w:before="200" w:after="8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4">
    <w:name w:val="heading 4"/>
    <w:basedOn w:val="a"/>
    <w:next w:val="a"/>
    <w:pPr>
      <w:keepNext/>
      <w:keepLines/>
      <w:spacing w:before="160" w:after="80"/>
      <w:jc w:val="left"/>
      <w:outlineLvl w:val="3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350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docdata">
    <w:name w:val="docdata"/>
    <w:aliases w:val="docy,v5,2120,baiaagaaboqcaaadewqaaawjbaaaaaaaaaaaaaaaaaaaaaaaaaaaaaaaaaaaaaaaaaaaaaaaaaaaaaaaaaaaaaaaaaaaaaaaaaaaaaaaaaaaaaaaaaaaaaaaaaaaaaaaaaaaaaaaaaaaaaaaaaaaaaaaaaaaaaaaaaaaaaaaaaaaaaaaaaaaaaaaaaaaaaaaaaaaaaaaaaaaaaaaaaaaaaaaaaaaaaaaaaaaaaaa"/>
    <w:basedOn w:val="a"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3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124598"/>
  </w:style>
  <w:style w:type="paragraph" w:styleId="a9">
    <w:name w:val="footer"/>
    <w:basedOn w:val="a"/>
    <w:link w:val="aa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124598"/>
  </w:style>
  <w:style w:type="character" w:styleId="ab">
    <w:name w:val="Hyperlink"/>
    <w:basedOn w:val="a0"/>
    <w:uiPriority w:val="99"/>
    <w:unhideWhenUsed/>
    <w:rsid w:val="00124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7" Type="http://schemas.openxmlformats.org/officeDocument/2006/relationships/image" Target="media/image7.png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iprm@ukr.net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dR6XPfqdT22Ws7cA4fHix+FoQ==">CgMxLjAyCGguZ2pkZ3hzMgloLjMwajB6bGw4AHIhMWZwcHE5ZTJ3V21GemJ1aTd6WXhhRXZmVlhMYzFwZTNo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"ІПРМ"</dc:creator>
  <cp:lastModifiedBy>Lunev Anatoliy</cp:lastModifiedBy>
  <cp:revision>10</cp:revision>
  <dcterms:created xsi:type="dcterms:W3CDTF">2023-03-29T11:24:00Z</dcterms:created>
  <dcterms:modified xsi:type="dcterms:W3CDTF">2026-05-27T14:10:00Z</dcterms:modified>
  <dc:title>Політика повернення коштів за послуги</dc:title>
  <dc:subject>Політика повернення коштів за послуги</dc:subject>
</cp:coreProperties>
</file>