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jc w:val="center"/>
      </w:pPr>
      <w:r>
        <w:t xml:space="preserve">Публічна оферта про надання </w:t>
      </w:r>
      <w:r>
        <w:t>послуг</w:t>
      </w:r>
    </w:p>
    <w:p>
      <w:pPr>
        <w:spacing w:after="280"/>
        <w:jc w:val="center"/>
      </w:pPr>
      <w:r>
        <w:t>ПО "ІПРМ" | Чинна редакція від 12 березня 2026 року</w:t>
      </w:r>
    </w:p>
    <w:p>
      <w:pPr>
        <w:spacing w:after="240"/>
        <w:ind w:firstLine="567"/>
      </w:pPr>
      <w:r>
        <w:t>Цей документ є офіційною публічною пропозицією (офертою) ПО "ІПРМ" (надалі — "Надавач послуг") невизначеному колу осіб укласти договір про надання послуг дистанційним способом (надалі — "Договір") на умовах, викладених нижче.</w:t>
      </w:r>
    </w:p>
    <w:p>
      <w:pPr>
        <w:pStyle w:val="2"/>
      </w:pPr>
      <w:r>
        <w:t>1. Загальні положення</w:t>
      </w:r>
    </w:p>
    <w:p>
      <w:r>
        <w:rPr>
          <w:b/>
        </w:rPr>
        <w:t>1.1</w:t>
      </w:r>
      <w:r>
        <w:t xml:space="preserve"> Текст преамбули цього Договору є його невід'ємною частиною.</w:t>
      </w:r>
    </w:p>
    <w:p>
      <w:r>
        <w:rPr>
          <w:b/>
        </w:rPr>
        <w:t>1.2</w:t>
      </w:r>
      <w:r>
        <w:t xml:space="preserve"> Відповідно до статей 633, 641, 642 Цивільного кодексу України, цей Договір є публічним, а його умови є однаковими для всіх Замовників.</w:t>
      </w:r>
    </w:p>
    <w:p>
      <w:r>
        <w:rPr>
          <w:b/>
        </w:rPr>
        <w:t>1.3</w:t>
      </w:r>
      <w:r>
        <w:t xml:space="preserve"> Моментом повного та беззастережного прийняття Замовником пропозиції Надавача послуг укласти цей Договір (акцептом оферти) вважається факт оформлення Замовлення на веб-сайті </w:t>
      </w:r>
      <w:r>
        <w:t>https://plasma-regen.com</w:t>
      </w:r>
      <w:r>
        <w:t xml:space="preserve"> (надалі — "Сайт") або здійснення оплати за Замовлення.</w:t>
      </w:r>
    </w:p>
    <w:p>
      <w:r>
        <w:rPr>
          <w:b/>
        </w:rPr>
        <w:t>1.4</w:t>
      </w:r>
      <w:r>
        <w:t xml:space="preserve"> Укладаючи цей Договір, Замовник підтверджує, що він повністю ознайомлений та згоден з усіма його умовами. Якщо Замовник не згоден з умовами цього Договору, він не повинен оформлювати Замовлення на Сайті.</w:t>
      </w:r>
    </w:p>
    <w:p>
      <w:r>
        <w:rPr>
          <w:b/>
        </w:rPr>
        <w:t>1.5</w:t>
      </w:r>
      <w:r>
        <w:t xml:space="preserve"> Цей Договір регулює виключно відносини щодо надання послуг. Відносини щодо купівлі-продажу фізичних товарів регулюються окремим договором публічної оферти, розміщеним на Сайті.</w:t>
      </w:r>
    </w:p>
    <w:p>
      <w:pPr>
        <w:pStyle w:val="2"/>
      </w:pPr>
      <w:r>
        <w:t>2. Визначення термінів</w:t>
      </w:r>
    </w:p>
    <w:p>
      <w:pPr>
        <w:spacing w:after="0"/>
        <w:jc w:val="left"/>
      </w:pPr>
      <w:r>
        <w:rPr>
          <w:b/>
        </w:rPr>
        <w:t>Надавач послуг</w:t>
      </w:r>
    </w:p>
    <w:p>
      <w:pPr>
        <w:spacing w:after="120"/>
        <w:ind w:left="567"/>
      </w:pPr>
      <w:r>
        <w:t>ПО "ІПРМ" (код ЄДРПОУ 45871060), що здійснює надання послуг через Сайт.</w:t>
      </w:r>
    </w:p>
    <w:p>
      <w:pPr>
        <w:spacing w:after="0"/>
        <w:jc w:val="left"/>
      </w:pPr>
      <w:r>
        <w:rPr>
          <w:b/>
        </w:rPr>
        <w:t>Замовник</w:t>
      </w:r>
    </w:p>
    <w:p>
      <w:pPr>
        <w:spacing w:after="120"/>
        <w:ind w:left="567"/>
      </w:pPr>
      <w:r>
        <w:t>Будь-яка дієздатна фізична або юридична особа, яка акцептувала цю публічну оферту на викладених у ній умовах.</w:t>
      </w:r>
    </w:p>
    <w:p>
      <w:pPr>
        <w:spacing w:after="0"/>
        <w:jc w:val="left"/>
      </w:pPr>
      <w:r>
        <w:rPr>
          <w:b/>
        </w:rPr>
        <w:t>Сайт</w:t>
      </w:r>
    </w:p>
    <w:p>
      <w:pPr>
        <w:spacing w:after="120"/>
        <w:ind w:left="567"/>
      </w:pPr>
      <w:r>
        <w:t xml:space="preserve">Веб-сайт, розміщений у мережі Інтернет за адресою </w:t>
      </w:r>
      <w:r>
        <w:t>https://plasma-regen.com</w:t>
      </w:r>
      <w:r>
        <w:t>, включаючи всі його веб-сторінки та піддомени.</w:t>
      </w:r>
    </w:p>
    <w:p>
      <w:pPr>
        <w:spacing w:after="0"/>
        <w:jc w:val="left"/>
      </w:pPr>
      <w:r>
        <w:rPr>
          <w:b/>
        </w:rPr>
        <w:t>Послуга</w:t>
      </w:r>
    </w:p>
    <w:p>
      <w:pPr>
        <w:spacing w:after="120"/>
        <w:ind w:left="567"/>
      </w:pPr>
      <w:r>
        <w:t>Послуги, що надаються Надавачем послуг через Сайт, зокрема: організація та проведення Заходів (семінарів, вебінарів, конференцій, курсів), а також надання доступу до Цифрових продуктів.</w:t>
      </w:r>
    </w:p>
    <w:p>
      <w:pPr>
        <w:spacing w:after="0"/>
        <w:jc w:val="left"/>
      </w:pPr>
      <w:r>
        <w:rPr>
          <w:b/>
        </w:rPr>
        <w:t>Захід</w:t>
      </w:r>
    </w:p>
    <w:p>
      <w:pPr>
        <w:spacing w:after="120"/>
        <w:ind w:left="567"/>
      </w:pPr>
      <w:r>
        <w:t>Семінар, вебінар, конференція, курс або інший освітній чи науково-практичний захід, організований та проведений Надавачем послуг.</w:t>
      </w:r>
    </w:p>
    <w:p>
      <w:pPr>
        <w:spacing w:after="0"/>
        <w:jc w:val="left"/>
      </w:pPr>
      <w:r>
        <w:rPr>
          <w:b/>
        </w:rPr>
        <w:t>Цифровий продукт</w:t>
      </w:r>
    </w:p>
    <w:p>
      <w:pPr>
        <w:spacing w:after="120"/>
        <w:ind w:left="567"/>
      </w:pPr>
      <w:r>
        <w:t>Протокол лікування або інший цифровий контент освітнього та консультативного характеру, доступ до якого надається Замовнику через особистий кабінет (приватну сторінку) на Сайті після здійснення оплати.</w:t>
      </w:r>
    </w:p>
    <w:p>
      <w:pPr>
        <w:spacing w:after="0"/>
        <w:jc w:val="left"/>
      </w:pPr>
      <w:r>
        <w:rPr>
          <w:b/>
        </w:rPr>
        <w:t>Особистий кабінет</w:t>
      </w:r>
    </w:p>
    <w:p>
      <w:pPr>
        <w:spacing w:after="120"/>
        <w:ind w:left="567"/>
      </w:pPr>
      <w:r>
        <w:t>Приватна сторінка Замовника на Сайті, доступ до якої надається після здійснення оплати та яка використовується для отримання Цифрових продуктів.</w:t>
      </w:r>
    </w:p>
    <w:p>
      <w:pPr>
        <w:spacing w:after="0"/>
        <w:jc w:val="left"/>
      </w:pPr>
      <w:r>
        <w:rPr>
          <w:b/>
        </w:rPr>
        <w:t>Замовлення</w:t>
      </w:r>
    </w:p>
    <w:p>
      <w:pPr>
        <w:spacing w:after="120"/>
        <w:ind w:left="567"/>
      </w:pPr>
      <w:r>
        <w:t>Належним чином оформлений та розміщений на Сайті запит Замовника на отримання Послуг.</w:t>
      </w:r>
    </w:p>
    <w:p>
      <w:pPr>
        <w:pStyle w:val="2"/>
      </w:pPr>
      <w:r>
        <w:t>3. Предмет Договору</w:t>
      </w:r>
    </w:p>
    <w:p>
      <w:r>
        <w:rPr>
          <w:b/>
        </w:rPr>
        <w:t>3.1</w:t>
      </w:r>
      <w:r>
        <w:t xml:space="preserve"> Надавач послуг зобов'язується надати Замовнику Послуги, а Замовник зобов'язується оплатити та прийняти Послуги на умовах цього Договору.</w:t>
      </w:r>
    </w:p>
    <w:p>
      <w:r>
        <w:rPr>
          <w:b/>
        </w:rPr>
        <w:t>3.2</w:t>
      </w:r>
      <w:r>
        <w:t xml:space="preserve"> Цей Договір регулює надання таких видів Послуг:</w:t>
      </w:r>
    </w:p>
    <w:p>
      <w:pPr>
        <w:spacing w:after="40"/>
        <w:ind w:left="567" w:hanging="283"/>
      </w:pPr>
      <w:r>
        <w:t xml:space="preserve">– </w:t>
      </w:r>
      <w:r>
        <w:t>організація та проведення Заходів: семінарів, вебінарів, конференцій, курсів;</w:t>
      </w:r>
    </w:p>
    <w:p>
      <w:pPr>
        <w:spacing w:after="40"/>
        <w:ind w:left="567" w:hanging="283"/>
      </w:pPr>
      <w:r>
        <w:t xml:space="preserve">– </w:t>
      </w:r>
      <w:r>
        <w:t>надання доступу до Цифрових продуктів: протоколів лікування та іншого цифрового контенту освітнього характеру.</w:t>
      </w:r>
    </w:p>
    <w:p>
      <w:r>
        <w:rPr>
          <w:b/>
        </w:rPr>
        <w:t>3.3</w:t>
      </w:r>
      <w:r>
        <w:t xml:space="preserve"> Цифрові продукти (протоколи лікування) мають виключно рекомендаційний та освітній характер і не є прямими медичними призначеннями. Використання інформації, що міститься у Цифрових продуктах, здійснюється Замовником на власний розсуд та під власну відповідальність.</w:t>
      </w:r>
    </w:p>
    <w:p>
      <w:r>
        <w:rPr>
          <w:b/>
        </w:rPr>
        <w:t>3.4</w:t>
      </w:r>
      <w:r>
        <w:t xml:space="preserve"> Надання Послуг здійснюється відповідно до Закону України "Про цифровий контент та цифрові послуги" No 3321-IX та Закону України "Про захист прав споживачів" No 3153-IX.</w:t>
      </w:r>
    </w:p>
    <w:p>
      <w:pPr>
        <w:pStyle w:val="2"/>
      </w:pPr>
      <w:r>
        <w:t>4. Порядок реєстрації та оформлення Замовлення</w:t>
      </w:r>
    </w:p>
    <w:p>
      <w:r>
        <w:rPr>
          <w:b/>
        </w:rPr>
        <w:t>4.1</w:t>
      </w:r>
      <w:r>
        <w:t xml:space="preserve"> Реєстрація на Заходи та оформлення Замовлень на Цифрові продукти здійснюються виключно через Сайт.</w:t>
      </w:r>
    </w:p>
    <w:p>
      <w:r>
        <w:rPr>
          <w:b/>
        </w:rPr>
        <w:t>4.2</w:t>
      </w:r>
      <w:r>
        <w:t xml:space="preserve"> Для оформлення Замовлення Замовник:</w:t>
      </w:r>
    </w:p>
    <w:p>
      <w:pPr>
        <w:spacing w:after="40"/>
        <w:ind w:left="567" w:hanging="283"/>
      </w:pPr>
      <w:r>
        <w:t xml:space="preserve">1) </w:t>
      </w:r>
      <w:r>
        <w:t>Обирає Послугу з переліку, представленого на Сайті.</w:t>
      </w:r>
    </w:p>
    <w:p>
      <w:pPr>
        <w:spacing w:after="40"/>
        <w:ind w:left="567" w:hanging="283"/>
      </w:pPr>
      <w:r>
        <w:t xml:space="preserve">2) </w:t>
      </w:r>
      <w:r>
        <w:t>Заповнює реєстраційну форму, вказуючи повну та достовірну інформацію: прізвище, ім'я, по батькові; контактний номер телефону; адресу електронної пошти.</w:t>
      </w:r>
    </w:p>
    <w:p>
      <w:pPr>
        <w:spacing w:after="40"/>
        <w:ind w:left="567" w:hanging="283"/>
      </w:pPr>
      <w:r>
        <w:t xml:space="preserve">3) </w:t>
      </w:r>
      <w:r>
        <w:t>Підтверджує ознайомлення з умовами цього Договору.</w:t>
      </w:r>
    </w:p>
    <w:p>
      <w:pPr>
        <w:spacing w:after="40"/>
        <w:ind w:left="567" w:hanging="283"/>
      </w:pPr>
      <w:r>
        <w:t xml:space="preserve">4) </w:t>
      </w:r>
      <w:r>
        <w:t>Здійснює оплату Замовлення.</w:t>
      </w:r>
    </w:p>
    <w:p>
      <w:r>
        <w:rPr>
          <w:b/>
        </w:rPr>
        <w:t>4.3</w:t>
      </w:r>
      <w:r>
        <w:t xml:space="preserve"> Замовник несе повну відповідальність за точність та достовірність даних, наданих при оформленні Замовлення.</w:t>
      </w:r>
    </w:p>
    <w:p>
      <w:r>
        <w:rPr>
          <w:b/>
        </w:rPr>
        <w:t>4.4</w:t>
      </w:r>
      <w:r>
        <w:t xml:space="preserve"> Надавач послуг має право відмовити в оформленні Замовлення, якщо у нього виникнуть обґрунтовані підстави вважати, що надана Замовником інформація є недостовірною або неповною.</w:t>
      </w:r>
    </w:p>
    <w:p>
      <w:pPr>
        <w:pStyle w:val="2"/>
      </w:pPr>
      <w:r>
        <w:t>5. Ціна та порядок оплати</w:t>
      </w:r>
    </w:p>
    <w:p>
      <w:r>
        <w:rPr>
          <w:b/>
        </w:rPr>
        <w:t>5.1</w:t>
      </w:r>
      <w:r>
        <w:t xml:space="preserve"> Ціни на Послуги вказані на Сайті в національній валюті України — гривні (UAH).</w:t>
      </w:r>
    </w:p>
    <w:p>
      <w:r>
        <w:rPr>
          <w:b/>
        </w:rPr>
        <w:t>5.2</w:t>
      </w:r>
      <w:r>
        <w:t xml:space="preserve"> Ціни на Послуги включають усі передбачені законодавством податки.</w:t>
      </w:r>
    </w:p>
    <w:p>
      <w:r>
        <w:rPr>
          <w:b/>
        </w:rPr>
        <w:t>5.3</w:t>
      </w:r>
      <w:r>
        <w:t xml:space="preserve"> Оплата Послуг здійснюється Замовником у формі 100% передоплати за допомогою платіжної системи LiqPay, інтегрованої на Сайті.</w:t>
      </w:r>
    </w:p>
    <w:p>
      <w:r>
        <w:rPr>
          <w:b/>
        </w:rPr>
        <w:t>5.4</w:t>
      </w:r>
      <w:r>
        <w:t xml:space="preserve"> Зобов'язання Замовника щодо оплати Послуги вважаються виконаними з моменту надходження Надавачу послуг підтвердження від платіжної системи LiqPay про успішне списання коштів з рахунку Замовника.</w:t>
      </w:r>
    </w:p>
    <w:p>
      <w:r>
        <w:rPr>
          <w:b/>
        </w:rPr>
        <w:t>5.5</w:t>
      </w:r>
      <w:r>
        <w:t xml:space="preserve"> Надавач послуг має право в односторонньому порядку змінювати ціни на Послуги. Зміна цін не поширюється на вже оплачені Замовником Замовлення.</w:t>
      </w:r>
    </w:p>
    <w:p>
      <w:pPr>
        <w:pStyle w:val="2"/>
      </w:pPr>
      <w:r>
        <w:t>6. Умови надання послуг</w:t>
      </w:r>
    </w:p>
    <w:p>
      <w:pPr>
        <w:pStyle w:val="3"/>
      </w:pPr>
      <w:r>
        <w:t>6.1. Заходи (семінари, вебінари, конференції, курси)</w:t>
      </w:r>
    </w:p>
    <w:p>
      <w:r>
        <w:rPr>
          <w:b/>
        </w:rPr>
        <w:t>6.1.1</w:t>
      </w:r>
      <w:r>
        <w:t xml:space="preserve"> Інформація про Заходи (дата, час, місце або платформа проведення, програма, вартість участі) розміщується на Сайті.</w:t>
      </w:r>
    </w:p>
    <w:p>
      <w:r>
        <w:rPr>
          <w:b/>
        </w:rPr>
        <w:t>6.1.2</w:t>
      </w:r>
      <w:r>
        <w:t xml:space="preserve"> Реєстрація на Захід здійснюється виключно через Сайт шляхом оформлення Замовлення та здійснення оплати.</w:t>
      </w:r>
    </w:p>
    <w:p>
      <w:r>
        <w:rPr>
          <w:b/>
        </w:rPr>
        <w:t>6.1.3</w:t>
      </w:r>
      <w:r>
        <w:t xml:space="preserve"> Послуга з організації та проведення Заходу вважається наданою з моменту фактичного проведення Заходу.</w:t>
      </w:r>
    </w:p>
    <w:p>
      <w:r>
        <w:rPr>
          <w:b/>
        </w:rPr>
        <w:t>6.1.4</w:t>
      </w:r>
      <w:r>
        <w:t xml:space="preserve"> Надавач послуг зобов'язується забезпечити проведення Заходу відповідно до оголошеної на Сайті програми. Надавач послуг залишає за собою право вносити зміни до програми Заходу, повідомивши про це Замовників заздалегідь.</w:t>
      </w:r>
    </w:p>
    <w:p>
      <w:r>
        <w:rPr>
          <w:b/>
        </w:rPr>
        <w:t>6.1.5</w:t>
      </w:r>
      <w:r>
        <w:t xml:space="preserve"> Надавач послуг залишає за собою право змінити дату, час або місце проведення Заходу, повідомивши про це Замовників не менш ніж за 3 (три) календарних дні до запланованої дати проведення, за винятком випадків форс-мажорних обставин.</w:t>
      </w:r>
    </w:p>
    <w:p>
      <w:pPr>
        <w:pStyle w:val="3"/>
      </w:pPr>
      <w:r>
        <w:t>6.2. Цифрові продукти (протоколи лікування)</w:t>
      </w:r>
    </w:p>
    <w:p>
      <w:r>
        <w:rPr>
          <w:b/>
        </w:rPr>
        <w:t>6.2.1</w:t>
      </w:r>
      <w:r>
        <w:t xml:space="preserve"> Після здійснення оплати Замовнику автоматично надається доступ до Цифрового продукту через особистий кабінет (приватну сторінку) на Сайті.</w:t>
      </w:r>
    </w:p>
    <w:p>
      <w:r>
        <w:rPr>
          <w:b/>
        </w:rPr>
        <w:t>6.2.2</w:t>
      </w:r>
      <w:r>
        <w:t xml:space="preserve"> Послуга з надання доступу до Цифрового продукту вважається наданою з моменту надання Замовнику технічної можливості доступу до Цифрового продукту через особистий кабінет на Сайті.</w:t>
      </w:r>
    </w:p>
    <w:p>
      <w:r>
        <w:rPr>
          <w:b/>
        </w:rPr>
        <w:t>6.2.3</w:t>
      </w:r>
      <w:r>
        <w:t xml:space="preserve"> Строк доступу Замовника до оплаченого Цифрового продукту є необмеженим.</w:t>
      </w:r>
    </w:p>
    <w:p>
      <w:r>
        <w:rPr>
          <w:b/>
        </w:rPr>
        <w:t>6.2.4</w:t>
      </w:r>
      <w:r>
        <w:t xml:space="preserve"> Кількість завантажень Цифрового продукту Замовником не обмежується.</w:t>
      </w:r>
    </w:p>
    <w:p>
      <w:pPr>
        <w:pStyle w:val="2"/>
      </w:pPr>
      <w:r>
        <w:t>7. Порядок скасування та повернення коштів</w:t>
      </w:r>
    </w:p>
    <w:p>
      <w:pPr>
        <w:pStyle w:val="3"/>
      </w:pPr>
      <w:r>
        <w:t>7.1. Скасування Заходу з ініціативи Надавача послуг</w:t>
      </w:r>
    </w:p>
    <w:p>
      <w:r>
        <w:rPr>
          <w:b/>
        </w:rPr>
        <w:t>7.1.1</w:t>
      </w:r>
      <w:r>
        <w:t xml:space="preserve"> У разі скасування Заходу з ініціативи Надавача послуг, Надавач послуг зобов'язується повернути Замовнику сплачені кошти у повному обсязі протягом 14 (чотирнадцяти) календарних днів з дати прийняття рішення про скасування.</w:t>
      </w:r>
    </w:p>
    <w:p>
      <w:r>
        <w:rPr>
          <w:b/>
        </w:rPr>
        <w:t>7.1.2</w:t>
      </w:r>
      <w:r>
        <w:t xml:space="preserve"> Повернення коштів здійснюється тим самим способом, яким було здійснено оплату, якщо інше не узгоджено із Замовником.</w:t>
      </w:r>
    </w:p>
    <w:p>
      <w:pPr>
        <w:pStyle w:val="3"/>
      </w:pPr>
      <w:r>
        <w:t>7.2. Неявка Замовника на Захід</w:t>
      </w:r>
    </w:p>
    <w:p>
      <w:r>
        <w:rPr>
          <w:b/>
        </w:rPr>
        <w:t>7.2.1</w:t>
      </w:r>
      <w:r>
        <w:t xml:space="preserve"> Якщо Замовник зареєструвався та оплатив участь у Заході, але не з'явився на Захід, що відбувся у запланований час та місці, повернення коштів не здійснюється.</w:t>
      </w:r>
    </w:p>
    <w:p>
      <w:r>
        <w:rPr>
          <w:b/>
        </w:rPr>
        <w:t>7.2.2</w:t>
      </w:r>
      <w:r>
        <w:t xml:space="preserve"> Послуга вважається наданою належним чином, оскільки Надавач послуг забезпечив Замовнику можливість участі у Заході.</w:t>
      </w:r>
    </w:p>
    <w:p>
      <w:pPr>
        <w:pStyle w:val="3"/>
      </w:pPr>
      <w:r>
        <w:t>7.3. Цифрові продукти</w:t>
      </w:r>
    </w:p>
    <w:p>
      <w:r>
        <w:rPr>
          <w:b/>
        </w:rPr>
        <w:t>7.3.1</w:t>
      </w:r>
      <w:r>
        <w:t xml:space="preserve"> Враховуючи специфіку Цифрових продуктів, доступ до яких надається автоматично після оплати, та з урахуванням положень Закону України "Про захист прав споживачів" No 3153-IX щодо цифрового контенту, повернення коштів за Цифрові продукти не здійснюється після надання Замовнику доступу до відповідного Цифрового продукту.</w:t>
      </w:r>
    </w:p>
    <w:p>
      <w:r>
        <w:rPr>
          <w:b/>
        </w:rPr>
        <w:t>7.3.2</w:t>
      </w:r>
      <w:r>
        <w:t xml:space="preserve"> Оформлюючи Замовлення на Цифровий продукт, Замовник надає свою явну згоду на негайне надання цифрового контенту та підтверджує, що він обізнаний про втрату права на відмову від Договору в частині цього Замовлення після надання доступу до Цифрового продукту.</w:t>
      </w:r>
    </w:p>
    <w:p>
      <w:pPr>
        <w:pStyle w:val="2"/>
      </w:pPr>
      <w:r>
        <w:t>8. Інтелектуальна власність та обмеження</w:t>
      </w:r>
    </w:p>
    <w:p>
      <w:r>
        <w:rPr>
          <w:b/>
        </w:rPr>
        <w:t>8.1</w:t>
      </w:r>
      <w:r>
        <w:t xml:space="preserve"> Усі матеріали Заходів (презентації, роздаткові матеріали, аудіо- та відеозаписи, методичні матеріали тощо), а також Цифрові продукти є об'єктами інтелектуальної власності Надавача послуг та/або його партнерів і захищені відповідно до чинного законодавства України.</w:t>
      </w:r>
    </w:p>
    <w:p>
      <w:r>
        <w:rPr>
          <w:b/>
        </w:rPr>
        <w:t>8.2</w:t>
      </w:r>
      <w:r>
        <w:t xml:space="preserve"> Під час проведення Заходів учасникам забороняється здійснювати аудіо-, відео- або фотозйомку, а також будь-яким іншим чином записувати або копіювати матеріали Заходу без попереднього письмового дозволу Надавача послуг.</w:t>
      </w:r>
    </w:p>
    <w:p>
      <w:r>
        <w:rPr>
          <w:b/>
        </w:rPr>
        <w:t>8.3</w:t>
      </w:r>
      <w:r>
        <w:t xml:space="preserve"> Замовнику забороняється:</w:t>
      </w:r>
    </w:p>
    <w:p>
      <w:pPr>
        <w:spacing w:after="40"/>
        <w:ind w:left="567" w:hanging="283"/>
      </w:pPr>
      <w:r>
        <w:t xml:space="preserve">– </w:t>
      </w:r>
      <w:r>
        <w:t>копіювати, відтворювати, розповсюджувати, передавати третім особам Цифрові продукти або їх частини;</w:t>
      </w:r>
    </w:p>
    <w:p>
      <w:pPr>
        <w:spacing w:after="40"/>
        <w:ind w:left="567" w:hanging="283"/>
      </w:pPr>
      <w:r>
        <w:t xml:space="preserve">– </w:t>
      </w:r>
      <w:r>
        <w:t>надавати доступ до особистого кабінету або Цифрових продуктів третім особам;</w:t>
      </w:r>
    </w:p>
    <w:p>
      <w:pPr>
        <w:spacing w:after="40"/>
        <w:ind w:left="567" w:hanging="283"/>
      </w:pPr>
      <w:r>
        <w:t xml:space="preserve">– </w:t>
      </w:r>
      <w:r>
        <w:t>використовувати Цифрові продукти або матеріали Заходів у комерційних цілях без письмового дозволу Надавача послуг;</w:t>
      </w:r>
    </w:p>
    <w:p>
      <w:pPr>
        <w:spacing w:after="40"/>
        <w:ind w:left="567" w:hanging="283"/>
      </w:pPr>
      <w:r>
        <w:t xml:space="preserve">– </w:t>
      </w:r>
      <w:r>
        <w:t>видаляти або змінювати позначення авторського права або товарних знаків.</w:t>
      </w:r>
    </w:p>
    <w:p>
      <w:r>
        <w:rPr>
          <w:b/>
        </w:rPr>
        <w:t>8.4</w:t>
      </w:r>
      <w:r>
        <w:t xml:space="preserve"> У разі порушення Замовником умов цього розділу Надавач послуг залишає за собою право обмежити або припинити доступ Замовника до Цифрових продуктів без повернення коштів, а також вимагати відшкодування завданих збитків.</w:t>
      </w:r>
    </w:p>
    <w:p>
      <w:pPr>
        <w:pStyle w:val="2"/>
      </w:pPr>
      <w:r>
        <w:t>9. Сертифікати учасників</w:t>
      </w:r>
    </w:p>
    <w:p>
      <w:r>
        <w:rPr>
          <w:b/>
        </w:rPr>
        <w:t>9.1</w:t>
      </w:r>
      <w:r>
        <w:t xml:space="preserve"> Учасникам Заходів, які пройшли повну програму Заходу, видаються сертифікати учасника.</w:t>
      </w:r>
    </w:p>
    <w:p>
      <w:r>
        <w:rPr>
          <w:b/>
        </w:rPr>
        <w:t>9.2</w:t>
      </w:r>
      <w:r>
        <w:t xml:space="preserve"> Сертифікати видаються у паперовій та електронній формі.</w:t>
      </w:r>
    </w:p>
    <w:p>
      <w:r>
        <w:rPr>
          <w:b/>
        </w:rPr>
        <w:t>9.3</w:t>
      </w:r>
      <w:r>
        <w:t xml:space="preserve"> Сертифікат підтверджує факт участі Замовника у відповідному Заході та проходження його програми.</w:t>
      </w:r>
    </w:p>
    <w:p>
      <w:r>
        <w:rPr>
          <w:b/>
        </w:rPr>
        <w:t>9.4</w:t>
      </w:r>
      <w:r>
        <w:t xml:space="preserve"> Організація та проведення Заходів Надавачем послуг не є освітньою діяльністю у розумінні Закону України "Про освіту" та не потребує отримання ліцензії на провадження освітньої діяльності. Заходи мають інформаційно-консультативний та науково-практичний характер, а сертифікати учасників не є документами про освіту.</w:t>
      </w:r>
    </w:p>
    <w:p>
      <w:pPr>
        <w:pStyle w:val="2"/>
      </w:pPr>
      <w:r>
        <w:t>10. Права та обов'язки сторін</w:t>
      </w:r>
    </w:p>
    <w:p>
      <w:pPr>
        <w:pStyle w:val="3"/>
      </w:pPr>
      <w:r>
        <w:t>10.1 Надавач послуг зобов'язаний:</w:t>
      </w:r>
    </w:p>
    <w:p>
      <w:pPr>
        <w:spacing w:after="40"/>
        <w:ind w:left="567" w:hanging="283"/>
      </w:pPr>
      <w:r>
        <w:t xml:space="preserve">– </w:t>
      </w:r>
      <w:r>
        <w:t>виконувати умови цього Договору;</w:t>
      </w:r>
    </w:p>
    <w:p>
      <w:pPr>
        <w:spacing w:after="40"/>
        <w:ind w:left="567" w:hanging="283"/>
      </w:pPr>
      <w:r>
        <w:t xml:space="preserve">– </w:t>
      </w:r>
      <w:r>
        <w:t>надати Замовнику Послуги відповідно до оформленого Замовлення та умов цього Договору;</w:t>
      </w:r>
    </w:p>
    <w:p>
      <w:pPr>
        <w:spacing w:after="40"/>
        <w:ind w:left="567" w:hanging="283"/>
      </w:pPr>
      <w:r>
        <w:t xml:space="preserve">– </w:t>
      </w:r>
      <w:r>
        <w:t>забезпечити належну організацію та проведення Заходів відповідно до оголошеної програми;</w:t>
      </w:r>
    </w:p>
    <w:p>
      <w:pPr>
        <w:spacing w:after="40"/>
        <w:ind w:left="567" w:hanging="283"/>
      </w:pPr>
      <w:r>
        <w:t xml:space="preserve">– </w:t>
      </w:r>
      <w:r>
        <w:t>забезпечити технічну можливість доступу Замовника до оплачених Цифрових продуктів через особистий кабінет на Сайті;</w:t>
      </w:r>
    </w:p>
    <w:p>
      <w:pPr>
        <w:spacing w:after="40"/>
        <w:ind w:left="567" w:hanging="283"/>
      </w:pPr>
      <w:r>
        <w:t xml:space="preserve">– </w:t>
      </w:r>
      <w:r>
        <w:t>забезпечувати конфіденційність персональних даних Замовника.</w:t>
      </w:r>
    </w:p>
    <w:p>
      <w:pPr>
        <w:pStyle w:val="3"/>
      </w:pPr>
      <w:r>
        <w:t>10.2 Надавач послуг має право:</w:t>
      </w:r>
    </w:p>
    <w:p>
      <w:pPr>
        <w:spacing w:after="40"/>
        <w:ind w:left="567" w:hanging="283"/>
      </w:pPr>
      <w:r>
        <w:t xml:space="preserve">– </w:t>
      </w:r>
      <w:r>
        <w:t>в односторонньому порядку вносити зміни до цього Договору шляхом публікації нової редакції на Сайті;</w:t>
      </w:r>
    </w:p>
    <w:p>
      <w:pPr>
        <w:spacing w:after="40"/>
        <w:ind w:left="567" w:hanging="283"/>
      </w:pPr>
      <w:r>
        <w:t xml:space="preserve">– </w:t>
      </w:r>
      <w:r>
        <w:t>змінювати дату, час, місце або формат проведення Заходу з попереднім повідомленням Замовників;</w:t>
      </w:r>
    </w:p>
    <w:p>
      <w:pPr>
        <w:spacing w:after="40"/>
        <w:ind w:left="567" w:hanging="283"/>
      </w:pPr>
      <w:r>
        <w:t xml:space="preserve">– </w:t>
      </w:r>
      <w:r>
        <w:t>залучати третіх осіб для виконання своїх зобов'язань (лекторів, спікерів, технічних спеціалістів);</w:t>
      </w:r>
    </w:p>
    <w:p>
      <w:pPr>
        <w:spacing w:after="40"/>
        <w:ind w:left="567" w:hanging="283"/>
      </w:pPr>
      <w:r>
        <w:t xml:space="preserve">– </w:t>
      </w:r>
      <w:r>
        <w:t>обмежити або припинити доступ Замовника до Цифрових продуктів у разі порушення Замовником умов цього Договору.</w:t>
      </w:r>
    </w:p>
    <w:p>
      <w:pPr>
        <w:pStyle w:val="3"/>
      </w:pPr>
      <w:r>
        <w:t>10.3 Замовник зобов'язаний:</w:t>
      </w:r>
    </w:p>
    <w:p>
      <w:pPr>
        <w:spacing w:after="40"/>
        <w:ind w:left="567" w:hanging="283"/>
      </w:pPr>
      <w:r>
        <w:t xml:space="preserve">– </w:t>
      </w:r>
      <w:r>
        <w:t>своєчасно оплатити Послуги на умовах цього Договору;</w:t>
      </w:r>
    </w:p>
    <w:p>
      <w:pPr>
        <w:spacing w:after="40"/>
        <w:ind w:left="567" w:hanging="283"/>
      </w:pPr>
      <w:r>
        <w:t xml:space="preserve">– </w:t>
      </w:r>
      <w:r>
        <w:t>надавати достовірну інформацію при оформленні Замовлення;</w:t>
      </w:r>
    </w:p>
    <w:p>
      <w:pPr>
        <w:spacing w:after="40"/>
        <w:ind w:left="567" w:hanging="283"/>
      </w:pPr>
      <w:r>
        <w:t xml:space="preserve">– </w:t>
      </w:r>
      <w:r>
        <w:t>дотримуватися правил участі у Заходах, встановлених Надавачем послуг;</w:t>
      </w:r>
    </w:p>
    <w:p>
      <w:pPr>
        <w:spacing w:after="40"/>
        <w:ind w:left="567" w:hanging="283"/>
      </w:pPr>
      <w:r>
        <w:t xml:space="preserve">– </w:t>
      </w:r>
      <w:r>
        <w:t>не порушувати права інтелектуальної власності Надавача послуг;</w:t>
      </w:r>
    </w:p>
    <w:p>
      <w:pPr>
        <w:spacing w:after="40"/>
        <w:ind w:left="567" w:hanging="283"/>
      </w:pPr>
      <w:r>
        <w:t xml:space="preserve">– </w:t>
      </w:r>
      <w:r>
        <w:t>не копіювати, не розповсюджувати та не передавати третім особам Цифрові продукти та матеріали Заходів.</w:t>
      </w:r>
    </w:p>
    <w:p>
      <w:pPr>
        <w:pStyle w:val="3"/>
      </w:pPr>
      <w:r>
        <w:t>10.4 Замовник має право:</w:t>
      </w:r>
    </w:p>
    <w:p>
      <w:pPr>
        <w:spacing w:after="40"/>
        <w:ind w:left="567" w:hanging="283"/>
      </w:pPr>
      <w:r>
        <w:t xml:space="preserve">– </w:t>
      </w:r>
      <w:r>
        <w:t>вимагати від Надавача послуг виконання умов цього Договору;</w:t>
      </w:r>
    </w:p>
    <w:p>
      <w:pPr>
        <w:spacing w:after="40"/>
        <w:ind w:left="567" w:hanging="283"/>
      </w:pPr>
      <w:r>
        <w:t xml:space="preserve">– </w:t>
      </w:r>
      <w:r>
        <w:t>на отримання повної та достовірної інформації про Послуги;</w:t>
      </w:r>
    </w:p>
    <w:p>
      <w:pPr>
        <w:spacing w:after="40"/>
        <w:ind w:left="567" w:hanging="283"/>
      </w:pPr>
      <w:r>
        <w:t xml:space="preserve">– </w:t>
      </w:r>
      <w:r>
        <w:t>на отримання сертифіката участі у Заході за умови проходження повної програми Заходу;</w:t>
      </w:r>
    </w:p>
    <w:p>
      <w:pPr>
        <w:spacing w:after="40"/>
        <w:ind w:left="567" w:hanging="283"/>
      </w:pPr>
      <w:r>
        <w:t xml:space="preserve">– </w:t>
      </w:r>
      <w:r>
        <w:t>на необмежений доступ до оплачених Цифрових продуктів через особистий кабінет на Сайті.</w:t>
      </w:r>
    </w:p>
    <w:p>
      <w:pPr>
        <w:pStyle w:val="2"/>
      </w:pPr>
      <w:r>
        <w:t>11. Відповідальність та вирішення спорів</w:t>
      </w:r>
    </w:p>
    <w:p>
      <w:r>
        <w:rPr>
          <w:b/>
        </w:rPr>
        <w:t>11.1</w:t>
      </w:r>
      <w:r>
        <w:t xml:space="preserve"> Сторони несуть відповідальність за невиконання або неналежне виконання умов цього Договору в порядку, передбаченому цим Договором та чинним законодавством України.</w:t>
      </w:r>
    </w:p>
    <w:p>
      <w:r>
        <w:rPr>
          <w:b/>
        </w:rPr>
        <w:t>11.2</w:t>
      </w:r>
      <w:r>
        <w:t xml:space="preserve"> Надавач послуг не несе відповідальності за:</w:t>
      </w:r>
    </w:p>
    <w:p>
      <w:pPr>
        <w:spacing w:after="40"/>
        <w:ind w:left="567" w:hanging="283"/>
      </w:pPr>
      <w:r>
        <w:t xml:space="preserve">– </w:t>
      </w:r>
      <w:r>
        <w:t>неможливість надання Послуг, що виникла внаслідок технічних збоїв на стороні Замовника;</w:t>
      </w:r>
    </w:p>
    <w:p>
      <w:pPr>
        <w:spacing w:after="40"/>
        <w:ind w:left="567" w:hanging="283"/>
      </w:pPr>
      <w:r>
        <w:t xml:space="preserve">– </w:t>
      </w:r>
      <w:r>
        <w:t>результати практичного застосування Замовником інформації, отриманої під час Заходів або з Цифрових продуктів;</w:t>
      </w:r>
    </w:p>
    <w:p>
      <w:pPr>
        <w:spacing w:after="40"/>
        <w:ind w:left="567" w:hanging="283"/>
      </w:pPr>
      <w:r>
        <w:t xml:space="preserve">– </w:t>
      </w:r>
      <w:r>
        <w:t>наслідки використання Цифрових продуктів, що мають рекомендаційний та освітній характер.</w:t>
      </w:r>
    </w:p>
    <w:p>
      <w:r>
        <w:rPr>
          <w:b/>
        </w:rPr>
        <w:t>11.3</w:t>
      </w:r>
      <w:r>
        <w:t xml:space="preserve"> До звернення до суду Замовник зобов'язаний направити Надавачу послуг письмову претензію на електронну адресу, вказану в розділі 14 цього Договору. Претензія розглядається протягом 14 (чотирнадцяти) календарних днів з дати її отримання.</w:t>
      </w:r>
    </w:p>
    <w:p>
      <w:r>
        <w:rPr>
          <w:b/>
        </w:rPr>
        <w:t>11.4</w:t>
      </w:r>
      <w:r>
        <w:t xml:space="preserve"> Усі спори, що виникають між Замовником та Надавачем послуг, вирішуються шляхом переговорів.</w:t>
      </w:r>
    </w:p>
    <w:p>
      <w:r>
        <w:rPr>
          <w:b/>
        </w:rPr>
        <w:t>11.5</w:t>
      </w:r>
      <w:r>
        <w:t xml:space="preserve"> У випадку недосягнення згоди шляхом переговорів та претензійного порядку, спір передається на розгляд до суду відповідно до чинного законодавства України.</w:t>
      </w:r>
    </w:p>
    <w:p>
      <w:pPr>
        <w:pStyle w:val="2"/>
      </w:pPr>
      <w:r>
        <w:t>12. Захист персональних даних</w:t>
      </w:r>
    </w:p>
    <w:p>
      <w:r>
        <w:rPr>
          <w:b/>
        </w:rPr>
        <w:t>12.1</w:t>
      </w:r>
      <w:r>
        <w:t xml:space="preserve"> Акцептуючи цю оферту, Замовник, як суб'єкт персональних даних, надає свою добровільну та інформовану згоду на збір та обробку Надавачем послуг його персональних даних відповідно до Закону України "Про захист персональних даних".</w:t>
      </w:r>
    </w:p>
    <w:p>
      <w:r>
        <w:rPr>
          <w:b/>
        </w:rPr>
        <w:t>12.2</w:t>
      </w:r>
      <w:r>
        <w:t xml:space="preserve"> Персональні дані Замовника обробляються з метою: ідентифікації Замовника, оформлення та виконання Замовлення, здійснення розрахункових операцій, забезпечення доступу до Цифрових продуктів, здійснення зворотного зв'язку із Замовником.</w:t>
      </w:r>
    </w:p>
    <w:p>
      <w:r>
        <w:rPr>
          <w:b/>
        </w:rPr>
        <w:t>12.3</w:t>
      </w:r>
      <w:r>
        <w:t xml:space="preserve"> Детальні умови обробки, зберігання та захисту персональних даних визначаються Політикою конфіденційності, розміщеною на Сайті, яка є невід'ємною частиною цього Договору.</w:t>
      </w:r>
    </w:p>
    <w:p>
      <w:r>
        <w:rPr>
          <w:b/>
        </w:rPr>
        <w:t>12.4</w:t>
      </w:r>
      <w:r>
        <w:t xml:space="preserve"> Надавач послуг має право передавати персональні дані Замовника третім особам виключно в обсязі, необхідному для виконання Замовлення (зокрема, фінансовим установам та платіжним системам для обробки платежу).</w:t>
      </w:r>
    </w:p>
    <w:p>
      <w:pPr>
        <w:pStyle w:val="2"/>
      </w:pPr>
      <w:r>
        <w:t>13. Строк дії Договору</w:t>
      </w:r>
    </w:p>
    <w:p>
      <w:r>
        <w:rPr>
          <w:b/>
        </w:rPr>
        <w:t>13.1</w:t>
      </w:r>
      <w:r>
        <w:t xml:space="preserve"> Цей Договір набирає чинності з моменту його акцепту Замовником і діє до повного виконання Сторонами своїх зобов'язань.</w:t>
      </w:r>
    </w:p>
    <w:p>
      <w:r>
        <w:rPr>
          <w:b/>
        </w:rPr>
        <w:t>13.2</w:t>
      </w:r>
      <w:r>
        <w:t xml:space="preserve">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(форс-мажор).</w:t>
      </w:r>
    </w:p>
    <w:p>
      <w:r>
        <w:rPr>
          <w:b/>
        </w:rPr>
        <w:t>13.3</w:t>
      </w:r>
      <w:r>
        <w:t xml:space="preserve"> Надавач послуг залишає за собою право в односторонньому порядку вносити зміни до цього Договору. Нова редакція Договору набуває чинності з моменту її публікації на Сайті та застосовується до Замовлень, оформлених після такої публікації.</w:t>
      </w:r>
    </w:p>
    <w:p>
      <w:r>
        <w:rPr>
          <w:b/>
        </w:rPr>
        <w:t>13.4</w:t>
      </w:r>
      <w:r>
        <w:t xml:space="preserve"> Усі правовідносини, що виникають з цього Договору або пов'язані з ним, регулюються чинним законодавством України.</w:t>
      </w:r>
    </w:p>
    <w:p>
      <w:pPr>
        <w:pStyle w:val="2"/>
      </w:pPr>
      <w:r>
        <w:t>14. Реквізити Надавача послуг</w:t>
      </w:r>
    </w:p>
    <w:tbl>
      <w:tblPr>
        <w:tblStyle w:val="a5"/>
        <w:tblW w:type="auto" w:w="0"/>
        <w:jc w:val="left"/>
        <w:tblLook w:firstColumn="1" w:firstRow="1" w:lastColumn="0" w:lastRow="0" w:noHBand="0" w:noVBand="1" w:val="04A0"/>
      </w:tblPr>
      <w:tblGrid>
        <w:gridCol w:w="5102"/>
        <w:gridCol w:w="5102"/>
      </w:tblGrid>
      <w:tr>
        <w:tc>
          <w:tcPr>
            <w:tcW w:type="dxa" w:w="3402"/>
          </w:tcPr>
          <w:p>
            <w:pPr>
              <w:spacing w:after="40"/>
              <w:jc w:val="left"/>
            </w:pPr>
            <w:r>
              <w:rPr>
                <w:b/>
              </w:rPr>
              <w:t>Повне найменування:</w:t>
            </w:r>
          </w:p>
        </w:tc>
        <w:tc>
          <w:tcPr>
            <w:tcW w:type="dxa" w:w="6236"/>
          </w:tcPr>
          <w:p>
            <w:pPr>
              <w:spacing w:after="40"/>
              <w:jc w:val="left"/>
            </w:pPr>
            <w:r>
              <w:t>ПО "ІПРМ"</w:t>
            </w:r>
          </w:p>
        </w:tc>
      </w:tr>
      <w:tr>
        <w:tc>
          <w:tcPr>
            <w:tcW w:type="dxa" w:w="3402"/>
          </w:tcPr>
          <w:p>
            <w:pPr>
              <w:spacing w:after="40"/>
              <w:jc w:val="left"/>
            </w:pPr>
            <w:r>
              <w:rPr>
                <w:b/>
              </w:rPr>
              <w:t>Місцезнаходження:</w:t>
            </w:r>
          </w:p>
        </w:tc>
        <w:tc>
          <w:tcPr>
            <w:tcW w:type="dxa" w:w="6236"/>
          </w:tcPr>
          <w:p>
            <w:pPr>
              <w:spacing w:after="40"/>
              <w:jc w:val="left"/>
            </w:pPr>
            <w:r>
              <w:t>02002, Україна, місто Київ, вулиця Микільсько-слобідська, будинок 2б, квартира 246</w:t>
            </w:r>
          </w:p>
        </w:tc>
      </w:tr>
      <w:tr>
        <w:tc>
          <w:tcPr>
            <w:tcW w:type="dxa" w:w="3402"/>
          </w:tcPr>
          <w:p>
            <w:pPr>
              <w:spacing w:after="40"/>
              <w:jc w:val="left"/>
            </w:pPr>
            <w:r>
              <w:rPr>
                <w:b/>
              </w:rPr>
              <w:t>Код ЄДРПОУ:</w:t>
            </w:r>
          </w:p>
        </w:tc>
        <w:tc>
          <w:tcPr>
            <w:tcW w:type="dxa" w:w="6236"/>
          </w:tcPr>
          <w:p>
            <w:pPr>
              <w:spacing w:after="40"/>
              <w:jc w:val="left"/>
            </w:pPr>
            <w:r>
              <w:t>45871060</w:t>
            </w:r>
          </w:p>
        </w:tc>
      </w:tr>
      <w:tr>
        <w:tc>
          <w:tcPr>
            <w:tcW w:type="dxa" w:w="3402"/>
          </w:tcPr>
          <w:p>
            <w:pPr>
              <w:spacing w:after="40"/>
              <w:jc w:val="left"/>
            </w:pPr>
            <w:r>
              <w:rPr>
                <w:b/>
              </w:rPr>
              <w:t>Контактні телефони:</w:t>
            </w:r>
          </w:p>
        </w:tc>
        <w:tc>
          <w:tcPr>
            <w:tcW w:type="dxa" w:w="6236"/>
          </w:tcPr>
          <w:p>
            <w:pPr>
              <w:spacing w:after="40"/>
              <w:jc w:val="left"/>
            </w:pPr>
            <w:r>
              <w:t>+380 96 090 0007</w:t>
            </w:r>
          </w:p>
        </w:tc>
      </w:tr>
      <w:tr>
        <w:tc>
          <w:tcPr>
            <w:tcW w:type="dxa" w:w="3402"/>
          </w:tcPr>
          <w:p>
            <w:pPr>
              <w:spacing w:after="40"/>
              <w:jc w:val="left"/>
            </w:pPr>
            <w:r>
              <w:rPr>
                <w:b/>
              </w:rPr>
              <w:t>Адреса електронної пошти:</w:t>
            </w:r>
          </w:p>
        </w:tc>
        <w:tc>
          <w:tcPr>
            <w:tcW w:type="dxa" w:w="6236"/>
          </w:tcPr>
          <w:p>
            <w:pPr>
              <w:spacing w:after="40"/>
              <w:jc w:val="left"/>
            </w:pPr>
            <w:r>
              <w:t>iprm@ukr.net</w:t>
            </w:r>
          </w:p>
        </w:tc>
      </w:tr>
      <w:tr>
        <w:tc>
          <w:tcPr>
            <w:tcW w:type="dxa" w:w="3402"/>
          </w:tcPr>
          <w:p>
            <w:pPr>
              <w:spacing w:after="40"/>
              <w:jc w:val="left"/>
            </w:pPr>
            <w:r>
              <w:rPr>
                <w:b/>
              </w:rPr>
              <w:t>Графік роботи:</w:t>
            </w:r>
          </w:p>
        </w:tc>
        <w:tc>
          <w:tcPr>
            <w:tcW w:type="dxa" w:w="6236"/>
          </w:tcPr>
          <w:p>
            <w:pPr>
              <w:spacing w:after="40"/>
              <w:jc w:val="left"/>
            </w:pPr>
            <w:r>
              <w:t>Пн-Пт: 09:00-18:00</w:t>
            </w:r>
          </w:p>
        </w:tc>
      </w:tr>
      <w:tr>
        <w:tc>
          <w:tcPr>
            <w:tcW w:type="dxa" w:w="3402"/>
          </w:tcPr>
          <w:p>
            <w:pPr>
              <w:spacing w:after="40"/>
              <w:jc w:val="left"/>
            </w:pPr>
            <w:r>
              <w:rPr>
                <w:b/>
              </w:rPr>
              <w:t>Веб-сайт:</w:t>
            </w:r>
          </w:p>
        </w:tc>
        <w:tc>
          <w:tcPr>
            <w:tcW w:type="dxa" w:w="6236"/>
          </w:tcPr>
          <w:p>
            <w:pPr>
              <w:spacing w:after="40"/>
              <w:jc w:val="left"/>
            </w:pPr>
            <w:r>
              <w:t>https://plasma-regen.com</w:t>
            </w:r>
          </w:p>
        </w:tc>
      </w:tr>
    </w:tbl>
    <w:p/>
    <w:p>
      <w:pPr>
        <w:spacing w:before="200"/>
      </w:pPr>
      <w:r>
        <w:rPr>
          <w:b/>
        </w:rPr>
        <w:t>Оформлюючи замовлення на сайті plasma-regen.com, Замовник підтверджує, що ознайомився з умовами цього Договору та беззастережно приймає їх.</w:t>
      </w:r>
    </w:p>
    <w:p>
      <w:pPr>
        <w:spacing w:after="0"/>
      </w:pPr>
    </w:p>
    <w:p>
      <w:pPr>
        <w:keepNext/>
        <w:spacing w:after="0"/>
        <w:jc w:val="left"/>
      </w:pPr>
      <w:r>
        <w:rPr>
          <w:b/>
        </w:rPr>
        <w:t>ПО "ІПРМ"</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3402"/>
        <w:gridCol w:w="3402"/>
        <w:gridCol w:w="3402"/>
      </w:tblGrid>
      <w:tr>
        <w:tc>
          <w:tcPr>
            <w:tcW w:type="dxa" w:w="2551"/>
            <w:vAlign w:val="bottom"/>
          </w:tcPr>
          <w:p>
            <w:pPr>
              <w:spacing w:after="0"/>
              <w:jc w:val="left"/>
            </w:pPr>
            <w:r>
              <w:t>Ректор</w:t>
            </w:r>
          </w:p>
        </w:tc>
        <w:tc>
          <w:tcPr>
            <w:tcW w:type="dxa" w:w="3118"/>
            <w:vAlign w:val="bottom"/>
          </w:tcPr>
          <w:p>
            <w:pPr>
              <w:spacing w:after="0"/>
              <w:jc w:val="center"/>
            </w:pPr>
            <w:r>
              <w:drawing>
                <wp:inline xmlns:a="http://schemas.openxmlformats.org/drawingml/2006/main" xmlns:pic="http://schemas.openxmlformats.org/drawingml/2006/picture">
                  <wp:extent cx="1620000" cy="1461176"/>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1620000" cy="1461176"/>
                          </a:xfrm>
                          <a:prstGeom prst="rect"/>
                        </pic:spPr>
                      </pic:pic>
                    </a:graphicData>
                  </a:graphic>
                </wp:inline>
              </w:drawing>
            </w:r>
          </w:p>
        </w:tc>
        <w:tc>
          <w:tcPr>
            <w:tcW w:type="dxa" w:w="2835"/>
            <w:vAlign w:val="bottom"/>
          </w:tcPr>
          <w:p>
            <w:pPr>
              <w:spacing w:after="0"/>
              <w:jc w:val="right"/>
            </w:pPr>
            <w:r>
              <w:t>Заболотня Д. О.</w:t>
            </w:r>
          </w:p>
        </w:tc>
      </w:tr>
    </w:tbl>
    <w:sectPr w:rsidR="00621E8F" w:rsidRPr="00621E8F" w:rsidSect="00621E8F">
      <w:headerReference w:type="default" r:id="rId12"/>
      <w:footerReference w:type="default" r:id="rId8"/>
      <w:pgSz w:w="11906" w:h="16838"/>
      <w:pgMar w:top="1701" w:right="567"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3CC80" w14:textId="77777777" w:rsidR="007F1FE1" w:rsidRDefault="007F1FE1" w:rsidP="00124598">
      <w:pPr>
        <w:spacing w:after="0" w:line="240" w:lineRule="auto"/>
      </w:pPr>
      <w:r>
        <w:separator/>
      </w:r>
    </w:p>
  </w:endnote>
  <w:endnote w:type="continuationSeparator" w:id="0">
    <w:p w14:paraId="429E463E" w14:textId="77777777" w:rsidR="007F1FE1" w:rsidRDefault="007F1FE1" w:rsidP="001245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fldSimple w:instr="PAGE">
      <w:r>
        <w:rPr>
          <w:rFonts w:ascii="Times New Roman" w:hAnsi="Times New Roman" w:cs="Times New Roman"/>
          <w:sz w:val="20"/>
        </w:rPr>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6E5FF" w14:textId="77777777" w:rsidR="007F1FE1" w:rsidRDefault="007F1FE1" w:rsidP="00124598">
      <w:pPr>
        <w:spacing w:after="0" w:line="240" w:lineRule="auto"/>
      </w:pPr>
      <w:r>
        <w:separator/>
      </w:r>
    </w:p>
  </w:footnote>
  <w:footnote w:type="continuationSeparator" w:id="0">
    <w:p w14:paraId="02BABB22" w14:textId="77777777" w:rsidR="007F1FE1" w:rsidRDefault="007F1FE1" w:rsidP="001245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5A815" w14:textId="77777777" w:rsidR="00124598" w:rsidRDefault="00124598" w:rsidP="00124598">
    <w:pPr>
      <w:pStyle w:val="a7"/>
      <w:jc w:val="right"/>
      <w:rPr>
        <w:rFonts w:ascii="Arial" w:hAnsi="Arial"/>
        <w:sz w:val="20"/>
        <w:szCs w:val="20"/>
      </w:rPr>
    </w:pPr>
    <w:r>
      <w:rPr>
        <w:noProof/>
      </w:rPr>
      <w:drawing>
        <wp:anchor distT="0" distB="0" distL="114300" distR="114300" simplePos="0" relativeHeight="251659264" behindDoc="0" locked="0" layoutInCell="1" allowOverlap="1" wp14:anchorId="1984A580" wp14:editId="10CDE4D0">
          <wp:simplePos x="0" y="0"/>
          <wp:positionH relativeFrom="column">
            <wp:posOffset>-272415</wp:posOffset>
          </wp:positionH>
          <wp:positionV relativeFrom="paragraph">
            <wp:posOffset>-107950</wp:posOffset>
          </wp:positionV>
          <wp:extent cx="1545380" cy="663226"/>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Лого.png"/>
                  <pic:cNvPicPr/>
                </pic:nvPicPr>
                <pic:blipFill rotWithShape="1">
                  <a:blip r:embed="rId1">
                    <a:extLst>
                      <a:ext uri="{28A0092B-C50C-407E-A947-70E740481C1C}">
                        <a14:useLocalDpi xmlns:a14="http://schemas.microsoft.com/office/drawing/2010/main" val="0"/>
                      </a:ext>
                    </a:extLst>
                  </a:blip>
                  <a:srcRect l="9365" t="21862" r="10367" b="21841"/>
                  <a:stretch>
                    <a:fillRect/>
                  </a:stretch>
                </pic:blipFill>
                <pic:spPr bwMode="auto">
                  <a:xfrm>
                    <a:off x="0" y="0"/>
                    <a:ext cx="1545380" cy="663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94D9E">
      <w:rPr>
        <w:rFonts w:ascii="Arial" w:hAnsi="Arial"/>
        <w:sz w:val="20"/>
        <w:szCs w:val="20"/>
        <w:lang w:val="ru-RU"/>
      </w:rPr>
      <w:t>ЄДРПОУ: 45871060</w:t>
    </w:r>
  </w:p>
  <w:p w14:paraId="7E0DD929" w14:textId="77777777" w:rsidR="00124598" w:rsidRPr="00743C2A" w:rsidRDefault="00124598" w:rsidP="00124598">
    <w:pPr>
      <w:pStyle w:val="a7"/>
      <w:jc w:val="right"/>
      <w:rPr>
        <w:rFonts w:ascii="Arial" w:hAnsi="Arial"/>
        <w:sz w:val="20"/>
      </w:rPr>
    </w:pPr>
    <w:r w:rsidRPr="00294D9E">
      <w:rPr>
        <w:rFonts w:ascii="Arial" w:hAnsi="Arial"/>
        <w:sz w:val="20"/>
        <w:lang w:val="ru-RU"/>
      </w:rPr>
      <w:t>Україна,</w:t>
    </w:r>
    <w:r>
      <w:rPr>
        <w:rFonts w:ascii="Arial" w:hAnsi="Arial"/>
        <w:sz w:val="20"/>
      </w:rPr>
      <w:t xml:space="preserve"> 02002</w:t>
    </w:r>
  </w:p>
  <w:p w14:paraId="7450E830" w14:textId="77777777" w:rsidR="00124598" w:rsidRPr="00294D9E" w:rsidRDefault="00124598" w:rsidP="00124598">
    <w:pPr>
      <w:pStyle w:val="a7"/>
      <w:jc w:val="right"/>
      <w:rPr>
        <w:rFonts w:ascii="Arial" w:hAnsi="Arial"/>
        <w:sz w:val="20"/>
        <w:lang w:val="ru-RU"/>
      </w:rPr>
    </w:pPr>
    <w:r w:rsidRPr="00294D9E">
      <w:rPr>
        <w:rFonts w:ascii="Arial" w:hAnsi="Arial"/>
        <w:sz w:val="20"/>
        <w:lang w:val="ru-RU"/>
      </w:rPr>
      <w:t xml:space="preserve">м. Київ, </w:t>
    </w:r>
    <w:proofErr w:type="spellStart"/>
    <w:r w:rsidRPr="00294D9E">
      <w:rPr>
        <w:rFonts w:ascii="Arial" w:hAnsi="Arial"/>
        <w:sz w:val="20"/>
        <w:lang w:val="ru-RU"/>
      </w:rPr>
      <w:t>вул</w:t>
    </w:r>
    <w:proofErr w:type="spellEnd"/>
    <w:r w:rsidRPr="00294D9E">
      <w:rPr>
        <w:rFonts w:ascii="Arial" w:hAnsi="Arial"/>
        <w:sz w:val="20"/>
        <w:lang w:val="ru-RU"/>
      </w:rPr>
      <w:t xml:space="preserve">. </w:t>
    </w:r>
    <w:proofErr w:type="spellStart"/>
    <w:r w:rsidRPr="00294D9E">
      <w:rPr>
        <w:rFonts w:ascii="Arial" w:hAnsi="Arial"/>
        <w:sz w:val="20"/>
        <w:lang w:val="ru-RU"/>
      </w:rPr>
      <w:t>Микільсько-Слобідська</w:t>
    </w:r>
    <w:proofErr w:type="spellEnd"/>
    <w:r w:rsidRPr="00294D9E">
      <w:rPr>
        <w:rFonts w:ascii="Arial" w:hAnsi="Arial"/>
        <w:sz w:val="20"/>
        <w:lang w:val="ru-RU"/>
      </w:rPr>
      <w:t>, буд. 2-Б, кв. 246</w:t>
    </w:r>
    <w:r w:rsidRPr="00294D9E">
      <w:rPr>
        <w:rFonts w:ascii="Arial" w:hAnsi="Arial"/>
        <w:sz w:val="20"/>
        <w:lang w:val="ru-RU"/>
      </w:rPr>
      <w:br/>
    </w:r>
    <w:hyperlink r:id="rId2" w:history="1">
      <w:r w:rsidRPr="00934928">
        <w:rPr>
          <w:rStyle w:val="ab"/>
          <w:rFonts w:ascii="Arial" w:hAnsi="Arial"/>
          <w:sz w:val="20"/>
          <w:lang w:val="en-US"/>
        </w:rPr>
        <w:t>iprm</w:t>
      </w:r>
      <w:r w:rsidRPr="00294D9E">
        <w:rPr>
          <w:rStyle w:val="ab"/>
          <w:rFonts w:ascii="Arial" w:hAnsi="Arial"/>
          <w:sz w:val="20"/>
          <w:lang w:val="ru-RU"/>
        </w:rPr>
        <w:t>@</w:t>
      </w:r>
      <w:r w:rsidRPr="00934928">
        <w:rPr>
          <w:rStyle w:val="ab"/>
          <w:rFonts w:ascii="Arial" w:hAnsi="Arial"/>
          <w:sz w:val="20"/>
          <w:lang w:val="en-US"/>
        </w:rPr>
        <w:t>ukr</w:t>
      </w:r>
      <w:r w:rsidRPr="00294D9E">
        <w:rPr>
          <w:rStyle w:val="ab"/>
          <w:rFonts w:ascii="Arial" w:hAnsi="Arial"/>
          <w:sz w:val="20"/>
          <w:lang w:val="ru-RU"/>
        </w:rPr>
        <w:t>.</w:t>
      </w:r>
      <w:r w:rsidRPr="00934928">
        <w:rPr>
          <w:rStyle w:val="ab"/>
          <w:rFonts w:ascii="Arial" w:hAnsi="Arial"/>
          <w:sz w:val="20"/>
          <w:lang w:val="en-US"/>
        </w:rPr>
        <w:t>net</w:t>
      </w:r>
    </w:hyperlink>
    <w:r w:rsidRPr="00294D9E">
      <w:rPr>
        <w:rFonts w:ascii="Arial" w:hAnsi="Arial"/>
        <w:sz w:val="20"/>
        <w:lang w:val="ru-RU"/>
      </w:rPr>
      <w:t xml:space="preserve"> тел.: +38 (050) 213-09-19</w:t>
    </w:r>
  </w:p>
  <w:p w14:paraId="5EE861A9" w14:textId="7AC6CE02" w:rsidR="00124598" w:rsidRPr="00966895" w:rsidRDefault="00124598" w:rsidP="00966895">
    <w:pPr>
      <w:pStyle w:val="a7"/>
      <w:jc w:val="right"/>
      <w:rPr>
        <w:rFonts w:ascii="Arial" w:hAnsi="Arial"/>
        <w:color w:val="5B9BD5" w:themeColor="accent5"/>
        <w:sz w:val="20"/>
        <w:u w:val="single"/>
        <w:lang w:eastAsia="zh-CN"/>
      </w:rPr>
    </w:pPr>
    <w:r w:rsidRPr="00966895">
      <w:rPr>
        <w:rFonts w:ascii="Arial" w:hAnsi="Arial"/>
        <w:color w:val="5B9BD5" w:themeColor="accent5"/>
        <w:sz w:val="20"/>
        <w:u w:val="single"/>
      </w:rPr>
      <w:t>plasma-regen.com</w:t>
    </w:r>
  </w:p>
  <w:p w14:paraId="3159FAC6" w14:textId="77777777" w:rsidR="00124598" w:rsidRDefault="00124598">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F84"/>
    <w:rsid w:val="00040673"/>
    <w:rsid w:val="000C62F8"/>
    <w:rsid w:val="00124598"/>
    <w:rsid w:val="00333ADB"/>
    <w:rsid w:val="00423557"/>
    <w:rsid w:val="004376C9"/>
    <w:rsid w:val="004D363D"/>
    <w:rsid w:val="00621E8F"/>
    <w:rsid w:val="007F1FE1"/>
    <w:rsid w:val="00856F84"/>
    <w:rsid w:val="00966895"/>
    <w:rsid w:val="00D5132E"/>
    <w:rsid w:val="00D54C83"/>
    <w:rsid w:val="00DB3A57"/>
    <w:rsid w:val="00F5755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972C1"/>
  <w15:docId w15:val="{BBE46976-3D3D-45CE-B6A3-1900A5DE0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uk-UA"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0" w:after="120" w:line="276" w:lineRule="auto"/>
      <w:jc w:val="both"/>
    </w:pPr>
    <w:rPr>
      <w:rFonts w:ascii="Times New Roman" w:hAnsi="Times New Roman" w:eastAsia="Times New Roman" w:cs="Times New Roman"/>
      <w:color w:val="000000"/>
      <w:sz w:val="24"/>
    </w:rPr>
  </w:style>
  <w:style w:type="paragraph" w:styleId="1">
    <w:name w:val="heading 1"/>
    <w:basedOn w:val="a"/>
    <w:next w:val="a"/>
    <w:pPr>
      <w:keepNext/>
      <w:keepLines/>
      <w:spacing w:before="0" w:after="240"/>
      <w:jc w:val="left"/>
      <w:outlineLvl w:val="0"/>
    </w:pPr>
    <w:rPr>
      <w:rFonts w:ascii="Times New Roman" w:hAnsi="Times New Roman" w:eastAsia="Times New Roman" w:cs="Times New Roman"/>
      <w:b/>
      <w:i w:val="0"/>
      <w:color w:val="000000"/>
      <w:sz w:val="32"/>
      <w:szCs w:val="48"/>
    </w:rPr>
  </w:style>
  <w:style w:type="paragraph" w:styleId="2">
    <w:name w:val="heading 2"/>
    <w:basedOn w:val="a"/>
    <w:next w:val="a"/>
    <w:pPr>
      <w:keepNext/>
      <w:keepLines/>
      <w:spacing w:before="280" w:after="120"/>
      <w:jc w:val="left"/>
      <w:outlineLvl w:val="1"/>
    </w:pPr>
    <w:rPr>
      <w:rFonts w:ascii="Times New Roman" w:hAnsi="Times New Roman" w:eastAsia="Times New Roman" w:cs="Times New Roman"/>
      <w:b/>
      <w:i w:val="0"/>
      <w:color w:val="000000"/>
      <w:sz w:val="26"/>
      <w:szCs w:val="36"/>
    </w:rPr>
  </w:style>
  <w:style w:type="paragraph" w:styleId="3">
    <w:name w:val="heading 3"/>
    <w:basedOn w:val="a"/>
    <w:next w:val="a"/>
    <w:pPr>
      <w:keepNext/>
      <w:keepLines/>
      <w:spacing w:before="200" w:after="80"/>
      <w:jc w:val="left"/>
      <w:outlineLvl w:val="2"/>
    </w:pPr>
    <w:rPr>
      <w:rFonts w:ascii="Times New Roman" w:hAnsi="Times New Roman" w:eastAsia="Times New Roman" w:cs="Times New Roman"/>
      <w:b/>
      <w:i w:val="0"/>
      <w:color w:val="000000"/>
      <w:sz w:val="24"/>
      <w:szCs w:val="28"/>
    </w:rPr>
  </w:style>
  <w:style w:type="paragraph" w:styleId="4">
    <w:name w:val="heading 4"/>
    <w:basedOn w:val="a"/>
    <w:next w:val="a"/>
    <w:pPr>
      <w:keepNext/>
      <w:keepLines/>
      <w:spacing w:before="160" w:after="80"/>
      <w:jc w:val="left"/>
      <w:outlineLvl w:val="3"/>
    </w:pPr>
    <w:rPr>
      <w:rFonts w:ascii="Times New Roman" w:hAnsi="Times New Roman" w:eastAsia="Times New Roman" w:cs="Times New Roman"/>
      <w:b/>
      <w:i w:val="0"/>
      <w:color w:val="000000"/>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customStyle="1" w:styleId="Default">
    <w:name w:val="Default"/>
    <w:rsid w:val="00C3502E"/>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docdata">
    <w:name w:val="docdata"/>
    <w:aliases w:val="docy,v5,2120,baiaagaaboqcaaadewqaaawjbaaaaaaaaaaaaaaaaaaaaaaaaaaaaaaaaaaaaaaaaaaaaaaaaaaaaaaaaaaaaaaaaaaaaaaaaaaaaaaaaaaaaaaaaaaaaaaaaaaaaaaaaaaaaaaaaaaaaaaaaaaaaaaaaaaaaaaaaaaaaaaaaaaaaaaaaaaaaaaaaaaaaaaaaaaaaaaaaaaaaaaaaaaaaaaaaaaaaaaaaaaaaaaa"/>
    <w:basedOn w:val="a"/>
    <w:rsid w:val="00C3502E"/>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4">
    <w:name w:val="Normal (Web)"/>
    <w:basedOn w:val="a"/>
    <w:uiPriority w:val="99"/>
    <w:semiHidden/>
    <w:unhideWhenUsed/>
    <w:rsid w:val="00C3502E"/>
    <w:pPr>
      <w:spacing w:before="100" w:beforeAutospacing="1" w:after="100" w:afterAutospacing="1" w:line="240" w:lineRule="auto"/>
    </w:pPr>
    <w:rPr>
      <w:rFonts w:ascii="Times New Roman" w:eastAsia="Times New Roman" w:hAnsi="Times New Roman" w:cs="Times New Roman"/>
      <w:sz w:val="24"/>
      <w:szCs w:val="24"/>
    </w:rPr>
  </w:style>
  <w:style w:type="table" w:styleId="a5">
    <w:name w:val="Table Grid"/>
    <w:basedOn w:val="a1"/>
    <w:uiPriority w:val="39"/>
    <w:rsid w:val="00C3502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Subtitle"/>
    <w:basedOn w:val="a"/>
    <w:next w:val="a"/>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a7">
    <w:name w:val="header"/>
    <w:basedOn w:val="a"/>
    <w:link w:val="a8"/>
    <w:uiPriority w:val="99"/>
    <w:unhideWhenUsed/>
    <w:rsid w:val="00124598"/>
    <w:pPr>
      <w:tabs>
        <w:tab w:val="center" w:pos="4819"/>
        <w:tab w:val="right" w:pos="9639"/>
      </w:tabs>
      <w:spacing w:after="0" w:line="240" w:lineRule="auto"/>
    </w:pPr>
  </w:style>
  <w:style w:type="character" w:customStyle="1" w:styleId="a8">
    <w:name w:val="Верхній колонтитул Знак"/>
    <w:basedOn w:val="a0"/>
    <w:link w:val="a7"/>
    <w:uiPriority w:val="99"/>
    <w:rsid w:val="00124598"/>
  </w:style>
  <w:style w:type="paragraph" w:styleId="a9">
    <w:name w:val="footer"/>
    <w:basedOn w:val="a"/>
    <w:link w:val="aa"/>
    <w:uiPriority w:val="99"/>
    <w:unhideWhenUsed/>
    <w:rsid w:val="00124598"/>
    <w:pPr>
      <w:tabs>
        <w:tab w:val="center" w:pos="4819"/>
        <w:tab w:val="right" w:pos="9639"/>
      </w:tabs>
      <w:spacing w:after="0" w:line="240" w:lineRule="auto"/>
    </w:pPr>
  </w:style>
  <w:style w:type="character" w:customStyle="1" w:styleId="aa">
    <w:name w:val="Нижній колонтитул Знак"/>
    <w:basedOn w:val="a0"/>
    <w:link w:val="a9"/>
    <w:uiPriority w:val="99"/>
    <w:rsid w:val="00124598"/>
  </w:style>
  <w:style w:type="character" w:styleId="ab">
    <w:name w:val="Hyperlink"/>
    <w:basedOn w:val="a0"/>
    <w:uiPriority w:val="99"/>
    <w:unhideWhenUsed/>
    <w:rsid w:val="0012459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14" Type="http://schemas.openxmlformats.org/officeDocument/2006/relationships/theme" Target="theme/theme1.xml"/><Relationship Id="rId7" Type="http://schemas.openxmlformats.org/officeDocument/2006/relationships/image" Target="media/image7.png"/><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mailto:iprm@ukr.net" TargetMode="External"/><Relationship Id="rId1"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DdR6XPfqdT22Ws7cA4fHix+FoQ==">CgMxLjAyCGguZ2pkZ3hzMgloLjMwajB6bGw4AHIhMWZwcHE5ZTJ3V21GemJ1aTd6WXhhRXZmVlhMYzFwZTNo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402</Words>
  <Characters>2298</Characters>
  <Application>Microsoft Office Word</Application>
  <DocSecurity>0</DocSecurity>
  <Lines>19</Lines>
  <Paragraphs>5</Paragraphs>
  <ScaleCrop>false</ScaleCrop>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 "ІПРМ"</dc:creator>
  <cp:lastModifiedBy>Lunev Anatoliy</cp:lastModifiedBy>
  <cp:revision>10</cp:revision>
  <dcterms:created xsi:type="dcterms:W3CDTF">2023-03-29T11:24:00Z</dcterms:created>
  <dcterms:modified xsi:type="dcterms:W3CDTF">2026-05-27T14:10:00Z</dcterms:modified>
  <dc:title>Публічна оферта про надання послуг</dc:title>
  <dc:subject>Публічна оферта про надання послуг</dc:subject>
</cp:coreProperties>
</file>