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EMPLOYEE HANDBOOK — TEST DOCUMENT</w:t>
      </w:r>
    </w:p>
    <w:p>
      <w:pPr>
        <w:jc w:val="center"/>
      </w:pPr>
      <w:r>
        <w:rPr>
          <w:b/>
          <w:sz w:val="24"/>
        </w:rPr>
        <w:t>Nexora Technologies | Internal Use</w:t>
      </w:r>
    </w:p>
    <w:p>
      <w:pPr>
        <w:spacing w:after="60"/>
      </w:pPr>
      <w:r>
        <w:rPr>
          <w:b/>
          <w:sz w:val="20"/>
        </w:rPr>
        <w:t xml:space="preserve">Purpose: </w:t>
      </w:r>
      <w:r>
        <w:t>This test handbook contains one page of searchable text followed by image-based policy pages. The image pages intentionally contain the detailed policy information so document extraction, OCR, layout understanding, and image-text retrieval can be tested.</w:t>
      </w:r>
    </w:p>
    <w:p>
      <w:pPr>
        <w:spacing w:after="60"/>
      </w:pPr>
      <w:r>
        <w:rPr>
          <w:b/>
          <w:sz w:val="20"/>
        </w:rPr>
        <w:t xml:space="preserve">How to Use This Test: </w:t>
      </w:r>
      <w:r>
        <w:t>The detailed information is embedded inside the images. Test questions should therefore cover both the one-page text and information visible only inside images. Example questions include: How many annual leave days are provided? What are the standard working hours? What should an employee do after receiving a suspicious email?</w:t>
      </w:r>
    </w:p>
    <w:p>
      <w:pPr>
        <w:spacing w:after="60"/>
      </w:pPr>
      <w:r>
        <w:rPr>
          <w:b/>
          <w:sz w:val="20"/>
        </w:rPr>
        <w:t xml:space="preserve">Important: </w:t>
      </w:r>
      <w:r>
        <w:t>This document is synthetic test data created for document-ingestion testing. It is not an official company policy. Where this document conflicts with an actual employee handbook, the actual approved policy takes precedence.</w:t>
      </w:r>
    </w:p>
    <w:p>
      <w:pPr>
        <w:jc w:val="center"/>
      </w:pPr>
      <w:r>
        <w:rPr>
          <w:i/>
          <w:sz w:val="18"/>
        </w:rPr>
        <w:t>End of text section — detailed policy content is contained in the following images.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306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ve_poli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3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30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of_cond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3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306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on_secur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3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306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te_wo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3068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