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HR Policy Knowledge System</w:t>
      </w:r>
    </w:p>
    <w:p>
      <w:pPr>
        <w:jc w:val="center"/>
      </w:pPr>
      <w:r>
        <w:rPr>
          <w:b/>
          <w:sz w:val="28"/>
        </w:rPr>
        <w:t>Architecture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19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Description</w:t>
      </w:r>
    </w:p>
    <w:p>
      <w:r>
        <w:t>The system follows a modular-monolith approach. The Streamlit client sends requests to a FastAPI API layer. Application services coordinate authentication, authorization, retrieval, and business workflows. The domain layer contains core business rules, while repositories isolate persistence details. SQLite stores application and access-control data, while ChromaDB stores document embeddings used for semantic retrieval.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Request and Retrieval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1572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57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What Happens During a Query?</w:t>
      </w:r>
    </w:p>
    <w:p>
      <w:pPr>
        <w:pStyle w:val="ListBullet"/>
      </w:pPr>
      <w:r>
        <w:t>The user submits a natural-language question through the chat interface.</w:t>
      </w:r>
    </w:p>
    <w:p>
      <w:pPr>
        <w:pStyle w:val="ListBullet"/>
      </w:pPr>
      <w:r>
        <w:t>The backend verifies the user's identity and determines which documents the user is allowed to access.</w:t>
      </w:r>
    </w:p>
    <w:p>
      <w:pPr>
        <w:pStyle w:val="ListBullet"/>
      </w:pPr>
      <w:r>
        <w:t>The retrieval layer searches authorized document chunks and selects relevant evidence.</w:t>
      </w:r>
    </w:p>
    <w:p>
      <w:pPr>
        <w:pStyle w:val="ListBullet"/>
      </w:pPr>
      <w:r>
        <w:t>The answer-generation step uses the selected evidence and returns citations so the user can trace the response.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Document Ingestion and Data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719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19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Example System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556"/>
            <w:vAlign w:val="center"/>
          </w:tcPr>
          <w:p>
            <w:r>
              <w:t>User</w:t>
            </w:r>
          </w:p>
        </w:tc>
        <w:tc>
          <w:tcPr>
            <w:tcW w:type="dxa" w:w="2556"/>
            <w:vAlign w:val="center"/>
          </w:tcPr>
          <w:p>
            <w:r>
              <w:t>Identity and access</w:t>
            </w:r>
          </w:p>
        </w:tc>
        <w:tc>
          <w:tcPr>
            <w:tcW w:type="dxa" w:w="2556"/>
            <w:vAlign w:val="center"/>
          </w:tcPr>
          <w:p>
            <w:r>
              <w:t>EMP-1042</w:t>
            </w:r>
          </w:p>
        </w:tc>
        <w:tc>
          <w:tcPr>
            <w:tcW w:type="dxa" w:w="2556"/>
            <w:vAlign w:val="center"/>
          </w:tcPr>
          <w:p>
            <w:r>
              <w:t>Authorized session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Project</w:t>
            </w:r>
          </w:p>
        </w:tc>
        <w:tc>
          <w:tcPr>
            <w:tcW w:type="dxa" w:w="2556"/>
            <w:vAlign w:val="center"/>
          </w:tcPr>
          <w:p>
            <w:r>
              <w:t>Groups related documents</w:t>
            </w:r>
          </w:p>
        </w:tc>
        <w:tc>
          <w:tcPr>
            <w:tcW w:type="dxa" w:w="2556"/>
            <w:vAlign w:val="center"/>
          </w:tcPr>
          <w:p>
            <w:r>
              <w:t>Onboarding Project</w:t>
            </w:r>
          </w:p>
        </w:tc>
        <w:tc>
          <w:tcPr>
            <w:tcW w:type="dxa" w:w="2556"/>
            <w:vAlign w:val="center"/>
          </w:tcPr>
          <w:p>
            <w:r>
              <w:t>Project access</w:t>
            </w:r>
          </w:p>
        </w:tc>
      </w:tr>
      <w:tr>
        <w:tc>
          <w:tcPr>
            <w:tcW w:type="dxa" w:w="2556"/>
            <w:vAlign w:val="center"/>
          </w:tcPr>
          <w:p>
            <w:r>
              <w:t>Document</w:t>
            </w:r>
          </w:p>
        </w:tc>
        <w:tc>
          <w:tcPr>
            <w:tcW w:type="dxa" w:w="2556"/>
            <w:vAlign w:val="center"/>
          </w:tcPr>
          <w:p>
            <w:r>
              <w:t>Stores source metadata</w:t>
            </w:r>
          </w:p>
        </w:tc>
        <w:tc>
          <w:tcPr>
            <w:tcW w:type="dxa" w:w="2556"/>
            <w:vAlign w:val="center"/>
          </w:tcPr>
          <w:p>
            <w:r>
              <w:t>Employee Handbook</w:t>
            </w:r>
          </w:p>
        </w:tc>
        <w:tc>
          <w:tcPr>
            <w:tcW w:type="dxa" w:w="2556"/>
            <w:vAlign w:val="center"/>
          </w:tcPr>
          <w:p>
            <w:r>
              <w:t>Document record</w:t>
            </w:r>
          </w:p>
        </w:tc>
      </w:tr>
      <w:tr>
        <w:tc>
          <w:tcPr>
            <w:tcW w:type="dxa" w:w="2556"/>
            <w:vAlign w:val="center"/>
          </w:tcPr>
          <w:p>
            <w:r>
              <w:t>Chunk</w:t>
            </w:r>
          </w:p>
        </w:tc>
        <w:tc>
          <w:tcPr>
            <w:tcW w:type="dxa" w:w="2556"/>
            <w:vAlign w:val="center"/>
          </w:tcPr>
          <w:p>
            <w:r>
              <w:t>Small searchable text unit</w:t>
            </w:r>
          </w:p>
        </w:tc>
        <w:tc>
          <w:tcPr>
            <w:tcW w:type="dxa" w:w="2556"/>
            <w:vAlign w:val="center"/>
          </w:tcPr>
          <w:p>
            <w:r>
              <w:t>Leave policy section</w:t>
            </w:r>
          </w:p>
        </w:tc>
        <w:tc>
          <w:tcPr>
            <w:tcW w:type="dxa" w:w="2556"/>
            <w:vAlign w:val="center"/>
          </w:tcPr>
          <w:p>
            <w:r>
              <w:t>Vector embedding</w:t>
            </w:r>
          </w:p>
        </w:tc>
      </w:tr>
      <w:tr>
        <w:tc>
          <w:tcPr>
            <w:tcW w:type="dxa" w:w="2556"/>
            <w:vAlign w:val="center"/>
          </w:tcPr>
          <w:p>
            <w:r>
              <w:t>Permission</w:t>
            </w:r>
          </w:p>
        </w:tc>
        <w:tc>
          <w:tcPr>
            <w:tcW w:type="dxa" w:w="2556"/>
            <w:vAlign w:val="center"/>
          </w:tcPr>
          <w:p>
            <w:r>
              <w:t>Controls resource access</w:t>
            </w:r>
          </w:p>
        </w:tc>
        <w:tc>
          <w:tcPr>
            <w:tcW w:type="dxa" w:w="2556"/>
            <w:vAlign w:val="center"/>
          </w:tcPr>
          <w:p>
            <w:r>
              <w:t>Project = HR</w:t>
            </w:r>
          </w:p>
        </w:tc>
        <w:tc>
          <w:tcPr>
            <w:tcW w:type="dxa" w:w="2556"/>
            <w:vAlign w:val="center"/>
          </w:tcPr>
          <w:p>
            <w:r>
              <w:t>Allow / deny</w:t>
            </w:r>
          </w:p>
        </w:tc>
      </w:tr>
    </w:tbl>
    <w:p>
      <w:pPr>
        <w:pStyle w:val="Heading2"/>
      </w:pPr>
      <w:r>
        <w:t>Key Design Principles</w:t>
      </w:r>
    </w:p>
    <w:p>
      <w:r>
        <w:t>Separation of responsibilities keeps the system easier to test and change. Authentication answers who the user is; authorization answers what the user can access; retrieval finds evidence only from authorized sources; and answer generation produces a response grounded in that evidence.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