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NEXORA TECHNOLOGIES PRIVATE LIMITED</w:t>
      </w:r>
    </w:p>
    <w:p>
      <w:pPr>
        <w:jc w:val="center"/>
      </w:pPr>
      <w:r>
        <w:rPr>
          <w:b/>
          <w:sz w:val="48"/>
        </w:rPr>
        <w:t>HUMAN RESOURCES POLICY MANUAL</w:t>
      </w:r>
    </w:p>
    <w:p>
      <w:pPr>
        <w:jc w:val="center"/>
      </w:pPr>
      <w:r>
        <w:rPr>
          <w:i/>
        </w:rPr>
        <w:t>Employee Policies, Standards and Workplace Guidelines</w:t>
      </w:r>
    </w:p>
    <w:p>
      <w:r>
        <w:br/>
      </w:r>
    </w:p>
    <w:tbl>
      <w:tblPr>
        <w:tblStyle w:val="TableGrid"/>
        <w:tblW w:type="auto" w:w="0"/>
        <w:tblLook w:firstColumn="1" w:firstRow="1" w:lastColumn="0" w:lastRow="0" w:noHBand="0" w:noVBand="1" w:val="04A0"/>
      </w:tblPr>
      <w:tblGrid>
        <w:gridCol w:w="4968"/>
        <w:gridCol w:w="4968"/>
      </w:tblGrid>
      <w:tr>
        <w:tc>
          <w:tcPr>
            <w:tcW w:type="dxa" w:w="4968"/>
          </w:tcPr>
          <w:p>
            <w:r>
              <w:t>Document Owner</w:t>
            </w:r>
          </w:p>
        </w:tc>
        <w:tc>
          <w:tcPr>
            <w:tcW w:type="dxa" w:w="4968"/>
          </w:tcPr>
          <w:p>
            <w:r>
              <w:t>Human Resources Department</w:t>
            </w:r>
          </w:p>
        </w:tc>
      </w:tr>
      <w:tr>
        <w:tc>
          <w:tcPr>
            <w:tcW w:type="dxa" w:w="4968"/>
          </w:tcPr>
          <w:p>
            <w:r>
              <w:t>Version</w:t>
            </w:r>
          </w:p>
        </w:tc>
        <w:tc>
          <w:tcPr>
            <w:tcW w:type="dxa" w:w="4968"/>
          </w:tcPr>
          <w:p>
            <w:r>
              <w:t>1.0</w:t>
            </w:r>
          </w:p>
        </w:tc>
      </w:tr>
      <w:tr>
        <w:tc>
          <w:tcPr>
            <w:tcW w:type="dxa" w:w="4968"/>
          </w:tcPr>
          <w:p>
            <w:r>
              <w:t>Effective Date</w:t>
            </w:r>
          </w:p>
        </w:tc>
        <w:tc>
          <w:tcPr>
            <w:tcW w:type="dxa" w:w="4968"/>
          </w:tcPr>
          <w:p>
            <w:r>
              <w:t>1 October 2026</w:t>
            </w:r>
          </w:p>
        </w:tc>
      </w:tr>
      <w:tr>
        <w:tc>
          <w:tcPr>
            <w:tcW w:type="dxa" w:w="4968"/>
          </w:tcPr>
          <w:p>
            <w:r>
              <w:t>Review Frequency</w:t>
            </w:r>
          </w:p>
        </w:tc>
        <w:tc>
          <w:tcPr>
            <w:tcW w:type="dxa" w:w="4968"/>
          </w:tcPr>
          <w:p>
            <w:r>
              <w:t>Annual or as required</w:t>
            </w:r>
          </w:p>
        </w:tc>
      </w:tr>
      <w:tr>
        <w:tc>
          <w:tcPr>
            <w:tcW w:type="dxa" w:w="4968"/>
          </w:tcPr>
          <w:p>
            <w:r>
              <w:t>Classification</w:t>
            </w:r>
          </w:p>
        </w:tc>
        <w:tc>
          <w:tcPr>
            <w:tcW w:type="dxa" w:w="4968"/>
          </w:tcPr>
          <w:p>
            <w:r>
              <w:t>Confidential – Internal Use</w:t>
            </w:r>
          </w:p>
        </w:tc>
      </w:tr>
      <w:tr>
        <w:tc>
          <w:tcPr>
            <w:tcW w:type="dxa" w:w="4968"/>
          </w:tcPr>
          <w:p>
            <w:r>
              <w:t>Approved By</w:t>
            </w:r>
          </w:p>
        </w:tc>
        <w:tc>
          <w:tcPr>
            <w:tcW w:type="dxa" w:w="4968"/>
          </w:tcPr>
          <w:p>
            <w:r>
              <w:t>Executive Management</w:t>
            </w:r>
          </w:p>
        </w:tc>
      </w:tr>
    </w:tbl>
    <w:p>
      <w:pPr>
        <w:spacing w:after="120"/>
      </w:pPr>
      <w:r>
        <w:br/>
        <w:t>This dummy document is created for demonstration, testing, document parsing and AI knowledge-base purposes. It should not be treated as legal advice or as an enforceable employment contract.</w:t>
      </w:r>
    </w:p>
    <w:p>
      <w:r>
        <w:br w:type="page"/>
      </w:r>
    </w:p>
    <w:p>
      <w:pPr>
        <w:pStyle w:val="Heading1"/>
      </w:pPr>
      <w:r>
        <w:t>DOCUMENT CONTROL AND TABLE OF CONTENTS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Version</w:t>
            </w:r>
          </w:p>
        </w:tc>
        <w:tc>
          <w:tcPr>
            <w:tcW w:type="dxa" w:w="2484"/>
          </w:tcPr>
          <w:p>
            <w:r>
              <w:t>Date</w:t>
            </w:r>
          </w:p>
        </w:tc>
        <w:tc>
          <w:tcPr>
            <w:tcW w:type="dxa" w:w="2484"/>
          </w:tcPr>
          <w:p>
            <w:r>
              <w:t>Description</w:t>
            </w:r>
          </w:p>
        </w:tc>
        <w:tc>
          <w:tcPr>
            <w:tcW w:type="dxa" w:w="2484"/>
          </w:tcPr>
          <w:p>
            <w:r>
              <w:t>Owner</w:t>
            </w:r>
          </w:p>
        </w:tc>
      </w:tr>
      <w:tr>
        <w:tc>
          <w:tcPr>
            <w:tcW w:type="dxa" w:w="2484"/>
          </w:tcPr>
          <w:p>
            <w:r>
              <w:t>1.0</w:t>
            </w:r>
          </w:p>
        </w:tc>
        <w:tc>
          <w:tcPr>
            <w:tcW w:type="dxa" w:w="2484"/>
          </w:tcPr>
          <w:p>
            <w:r>
              <w:t>01 Oct 2026</w:t>
            </w:r>
          </w:p>
        </w:tc>
        <w:tc>
          <w:tcPr>
            <w:tcW w:type="dxa" w:w="2484"/>
          </w:tcPr>
          <w:p>
            <w:r>
              <w:t>Initial Release</w:t>
            </w:r>
          </w:p>
        </w:tc>
        <w:tc>
          <w:tcPr>
            <w:tcW w:type="dxa" w:w="2484"/>
          </w:tcPr>
          <w:p>
            <w:r>
              <w:t>HR Department</w:t>
            </w:r>
          </w:p>
        </w:tc>
      </w:tr>
    </w:tbl>
    <w:p>
      <w:pPr>
        <w:pStyle w:val="Heading2"/>
      </w:pPr>
      <w:r>
        <w:t>Contents</w:t>
      </w:r>
    </w:p>
    <w:p>
      <w:pPr>
        <w:spacing w:after="120"/>
      </w:pPr>
      <w:r>
        <w:t>1. Purpose and Scope</w:t>
      </w:r>
    </w:p>
    <w:p>
      <w:pPr>
        <w:spacing w:after="120"/>
      </w:pPr>
      <w:r>
        <w:t>2. Company Values and Equal Opportunity</w:t>
      </w:r>
    </w:p>
    <w:p>
      <w:pPr>
        <w:spacing w:after="120"/>
      </w:pPr>
      <w:r>
        <w:t>3. Employment Categories and Probation</w:t>
      </w:r>
    </w:p>
    <w:p>
      <w:pPr>
        <w:spacing w:after="120"/>
      </w:pPr>
      <w:r>
        <w:t>4. Working Hours and Attendance</w:t>
      </w:r>
    </w:p>
    <w:p>
      <w:pPr>
        <w:spacing w:after="120"/>
      </w:pPr>
      <w:r>
        <w:t>5. Leave and Holidays</w:t>
      </w:r>
    </w:p>
    <w:p>
      <w:pPr>
        <w:spacing w:after="120"/>
      </w:pPr>
      <w:r>
        <w:t>6. Compensation and Benefits</w:t>
      </w:r>
    </w:p>
    <w:p>
      <w:pPr>
        <w:spacing w:after="120"/>
      </w:pPr>
      <w:r>
        <w:t>7. Code of Conduct and Workplace Behaviour</w:t>
      </w:r>
    </w:p>
    <w:p>
      <w:pPr>
        <w:spacing w:after="120"/>
      </w:pPr>
      <w:r>
        <w:t>8. Information Security and Remote Work</w:t>
      </w:r>
    </w:p>
    <w:p>
      <w:pPr>
        <w:spacing w:after="120"/>
      </w:pPr>
      <w:r>
        <w:t>9. Performance, Learning and Development</w:t>
      </w:r>
    </w:p>
    <w:p>
      <w:pPr>
        <w:spacing w:after="120"/>
      </w:pPr>
      <w:r>
        <w:t>10. Grievance, Anti-Harassment and Separation</w:t>
      </w:r>
    </w:p>
    <w:p>
      <w:pPr>
        <w:spacing w:after="120"/>
      </w:pPr>
      <w:r>
        <w:t>11. Employee Acknowledgement</w:t>
      </w:r>
    </w:p>
    <w:p>
      <w:pPr>
        <w:pStyle w:val="Heading2"/>
      </w:pPr>
      <w:r>
        <w:t>Policy Governance</w:t>
      </w:r>
    </w:p>
    <w:p>
      <w:pPr>
        <w:spacing w:after="120"/>
      </w:pPr>
      <w:r>
        <w:t>The HR Department owns this manual and is responsible for maintaining the current approved version. Employees are expected to review policy updates communicated through official company channels. Where applicable law, an employment agreement, or a statutory requirement conflicts with this manual, the applicable legal or contractual requirement will prevail.</w:t>
      </w:r>
    </w:p>
    <w:p>
      <w:r>
        <w:br w:type="page"/>
      </w:r>
    </w:p>
    <w:p>
      <w:pPr>
        <w:pStyle w:val="Heading1"/>
      </w:pPr>
      <w:r>
        <w:t>1. PURPOSE AND SCOPE</w:t>
      </w:r>
    </w:p>
    <w:p>
      <w:pPr>
        <w:spacing w:after="120"/>
      </w:pPr>
      <w:r>
        <w:t>This Human Resources Policy Manual establishes a consistent framework for employment practices, workplace conduct, employee benefits, performance management and people-related procedures at Nexora Technologies Private Limited (“the Company”).</w:t>
      </w:r>
    </w:p>
    <w:p>
      <w:pPr>
        <w:pStyle w:val="ListBullet"/>
      </w:pPr>
      <w:r>
        <w:t>Applies to permanent, probationary, fixed-term and eligible temporary employees.</w:t>
      </w:r>
    </w:p>
    <w:p>
      <w:pPr>
        <w:pStyle w:val="ListBullet"/>
      </w:pPr>
      <w:r>
        <w:t>Provides a common reference for employees, managers and the HR team.</w:t>
      </w:r>
    </w:p>
    <w:p>
      <w:pPr>
        <w:pStyle w:val="ListBullet"/>
      </w:pPr>
      <w:r>
        <w:t>Supports fair, consistent and professional decision-making across departments.</w:t>
      </w:r>
    </w:p>
    <w:p>
      <w:pPr>
        <w:pStyle w:val="ListBullet"/>
      </w:pPr>
      <w:r>
        <w:t>May be supplemented by department-specific procedures and approved policies.</w:t>
      </w:r>
    </w:p>
    <w:p>
      <w:pPr>
        <w:pStyle w:val="Heading1"/>
      </w:pPr>
      <w:r>
        <w:t>2. COMPANY VALUES AND EQUAL OPPORTUNITY</w:t>
      </w:r>
    </w:p>
    <w:p>
      <w:pPr>
        <w:spacing w:after="120"/>
      </w:pPr>
      <w:r>
        <w:t>Nexora Technologies is committed to integrity, customer focus, ownership, collaboration, continuous learning and respect for individuals. Employment decisions are based on legitimate business and role-related considerations.</w:t>
      </w:r>
    </w:p>
    <w:p>
      <w:pPr>
        <w:spacing w:after="120"/>
      </w:pPr>
      <w:r>
        <w:t>The Company seeks to provide a professional workplace free from unlawful discrimination, harassment and retaliation. Employees are expected to treat colleagues, customers, partners and visitors with dignity and respect.</w:t>
      </w:r>
    </w:p>
    <w:p>
      <w:pPr>
        <w:pStyle w:val="Heading1"/>
      </w:pPr>
      <w:r>
        <w:t>3. EMPLOYMENT CATEGORIES AND PROBATION</w:t>
      </w:r>
    </w:p>
    <w:p>
      <w:pPr>
        <w:spacing w:after="120"/>
      </w:pPr>
      <w:r>
        <w:t>Employment categories may include permanent employees, probationary employees, fixed-term employees, interns and consultants. Specific terms are communicated through the applicable appointment letter or agreement.</w:t>
      </w:r>
    </w:p>
    <w:p>
      <w:pPr>
        <w:spacing w:after="120"/>
      </w:pPr>
      <w:r>
        <w:t>New employees may be subject to a probation period. Confirmation is based on role performance, conduct, business requirements and successful completion of required processes. Confirmation is communicated in writing.</w:t>
      </w:r>
    </w:p>
    <w:p>
      <w:r>
        <w:br w:type="page"/>
      </w:r>
    </w:p>
    <w:p>
      <w:pPr>
        <w:pStyle w:val="Heading1"/>
      </w:pPr>
      <w:r>
        <w:t>4. WORKING HOURS AND ATTENDANCE</w:t>
      </w:r>
    </w:p>
    <w:p>
      <w:pPr>
        <w:spacing w:after="120"/>
      </w:pPr>
      <w:r>
        <w:t>Standard working schedules are communicated by the Company and may vary according to role, client requirements, business operations or approved shift arrangements. Employees must maintain reliable attendance and remain available during assigned working hours.</w:t>
      </w:r>
    </w:p>
    <w:p>
      <w:pPr>
        <w:pStyle w:val="ListBullet"/>
      </w:pPr>
      <w:r>
        <w:t>Record attendance using approved systems and follow applicable manager instructions.</w:t>
      </w:r>
    </w:p>
    <w:p>
      <w:pPr>
        <w:pStyle w:val="ListBullet"/>
      </w:pPr>
      <w:r>
        <w:t>Notify the manager as early as possible when delayed or unable to report for work.</w:t>
      </w:r>
    </w:p>
    <w:p>
      <w:pPr>
        <w:pStyle w:val="ListBullet"/>
      </w:pPr>
      <w:r>
        <w:t>Obtain approval before working overtime where such approval is required.</w:t>
      </w:r>
    </w:p>
    <w:p>
      <w:pPr>
        <w:pStyle w:val="ListBullet"/>
      </w:pPr>
      <w:r>
        <w:t>Do not manipulate attendance, timesheets or work records.</w:t>
      </w:r>
    </w:p>
    <w:p>
      <w:pPr>
        <w:pStyle w:val="Heading1"/>
      </w:pPr>
      <w:r>
        <w:t>REMOTE AND HYBRID WORK</w:t>
      </w:r>
    </w:p>
    <w:p>
      <w:pPr>
        <w:spacing w:after="120"/>
      </w:pPr>
      <w:r>
        <w:t>Remote or hybrid work is a business arrangement and not an automatic entitlement. Eligibility depends on role requirements, performance, client commitments, information-security requirements and management approval.</w:t>
      </w:r>
    </w:p>
    <w:p>
      <w:pPr>
        <w:spacing w:after="120"/>
      </w:pPr>
      <w:r>
        <w:t>Employees working remotely must maintain an appropriate professional environment, protect confidential information and use only approved systems for company work.</w:t>
      </w:r>
    </w:p>
    <w:p>
      <w:pPr>
        <w:pStyle w:val="Heading1"/>
      </w:pPr>
      <w:r>
        <w:t>5. LEAVE AND HOLIDAYS</w:t>
      </w:r>
    </w:p>
    <w:p>
      <w:pPr>
        <w:spacing w:after="120"/>
      </w:pPr>
      <w:r>
        <w:t>Leave categories, eligibility, accrual, approval, carry-forward and encashment rules are administered according to Company policy and applicable requirements. Employees should plan leave in advance whenever reasonably possible.</w:t>
      </w:r>
    </w:p>
    <w:p>
      <w:pPr>
        <w:pStyle w:val="ListBullet"/>
      </w:pPr>
      <w:r>
        <w:t>Submit planned leave through the approved HR system.</w:t>
      </w:r>
    </w:p>
    <w:p>
      <w:pPr>
        <w:pStyle w:val="ListBullet"/>
      </w:pPr>
      <w:r>
        <w:t>Emergency or sick leave should be communicated promptly.</w:t>
      </w:r>
    </w:p>
    <w:p>
      <w:pPr>
        <w:pStyle w:val="ListBullet"/>
      </w:pPr>
      <w:r>
        <w:t>Managers may manage approvals based on business continuity and staffing requirements.</w:t>
      </w:r>
    </w:p>
    <w:p>
      <w:pPr>
        <w:pStyle w:val="ListBullet"/>
      </w:pPr>
      <w:r>
        <w:t>The annual holiday calendar is communicated separately by HR.</w:t>
      </w:r>
    </w:p>
    <w:p>
      <w:r>
        <w:br w:type="page"/>
      </w:r>
    </w:p>
    <w:p>
      <w:pPr>
        <w:pStyle w:val="Heading1"/>
      </w:pPr>
      <w:r>
        <w:t>6. COMPENSATION AND BENEFITS</w:t>
      </w:r>
    </w:p>
    <w:p>
      <w:pPr>
        <w:spacing w:after="120"/>
      </w:pPr>
      <w:r>
        <w:t>Compensation is determined based on role, skills, experience, performance, market conditions and business requirements. Individual salary details are confidential and governed by the employee’s employment documentation.</w:t>
      </w:r>
    </w:p>
    <w:p>
      <w:pPr>
        <w:spacing w:after="120"/>
      </w:pPr>
      <w:r>
        <w:t>Salary is processed according to the Company payroll cycle, subject to applicable deductions, statutory requirements and approved adjustments.</w:t>
      </w:r>
    </w:p>
    <w:p>
      <w:pPr>
        <w:pStyle w:val="Heading1"/>
      </w:pPr>
      <w:r>
        <w:t>BENEFITS</w:t>
      </w:r>
    </w:p>
    <w:p>
      <w:pPr>
        <w:pStyle w:val="ListBullet"/>
      </w:pPr>
      <w:r>
        <w:t>Statutory benefits, where applicable, are administered in accordance with prevailing requirements.</w:t>
      </w:r>
    </w:p>
    <w:p>
      <w:pPr>
        <w:pStyle w:val="ListBullet"/>
      </w:pPr>
      <w:r>
        <w:t>The Company may provide insurance, wellness, learning or other benefits subject to eligibility and plan rules.</w:t>
      </w:r>
    </w:p>
    <w:p>
      <w:pPr>
        <w:pStyle w:val="ListBullet"/>
      </w:pPr>
      <w:r>
        <w:t>Benefits may be amended, replaced or withdrawn based on business requirements and applicable obligations.</w:t>
      </w:r>
    </w:p>
    <w:p>
      <w:pPr>
        <w:pStyle w:val="Heading1"/>
      </w:pPr>
      <w:r>
        <w:t>EXPENSES AND REIMBURSEMENTS</w:t>
      </w:r>
    </w:p>
    <w:p>
      <w:pPr>
        <w:spacing w:after="120"/>
      </w:pPr>
      <w:r>
        <w:t>Business expenses must be reasonable, necessary, supported by appropriate documentation and approved according to the Company’s authority matrix. Personal expenses must not be submitted as business expenses.</w:t>
      </w:r>
    </w:p>
    <w:p>
      <w:pPr>
        <w:pStyle w:val="Heading1"/>
      </w:pPr>
      <w:r>
        <w:t>7. CODE OF CONDUCT</w:t>
      </w:r>
    </w:p>
    <w:p>
      <w:pPr>
        <w:spacing w:after="120"/>
      </w:pPr>
      <w:r>
        <w:t>Employees are expected to act honestly, professionally and responsibly. Misconduct may result in corrective or disciplinary action after appropriate review.</w:t>
      </w:r>
    </w:p>
    <w:p>
      <w:pPr>
        <w:pStyle w:val="ListBullet"/>
      </w:pPr>
      <w:r>
        <w:t>Maintain professional and respectful behaviour.</w:t>
      </w:r>
    </w:p>
    <w:p>
      <w:pPr>
        <w:pStyle w:val="ListBullet"/>
      </w:pPr>
      <w:r>
        <w:t>Avoid conflicts of interest and disclose potential conflicts.</w:t>
      </w:r>
    </w:p>
    <w:p>
      <w:pPr>
        <w:pStyle w:val="ListBullet"/>
      </w:pPr>
      <w:r>
        <w:t>Do not offer or accept improper gifts, payments or benefits.</w:t>
      </w:r>
    </w:p>
    <w:p>
      <w:pPr>
        <w:pStyle w:val="ListBullet"/>
      </w:pPr>
      <w:r>
        <w:t>Protect Company property and use resources responsibly.</w:t>
      </w:r>
    </w:p>
    <w:p>
      <w:pPr>
        <w:pStyle w:val="ListBullet"/>
      </w:pPr>
      <w:r>
        <w:t>Comply with lawful policies, procedures and security requirements.</w:t>
      </w:r>
    </w:p>
    <w:p>
      <w:r>
        <w:br w:type="page"/>
      </w:r>
    </w:p>
    <w:p>
      <w:pPr>
        <w:pStyle w:val="Heading1"/>
      </w:pPr>
      <w:r>
        <w:t>8. INFORMATION SECURITY, CONFIDENTIALITY AND DATA PRIVACY</w:t>
      </w:r>
    </w:p>
    <w:p>
      <w:pPr>
        <w:spacing w:after="120"/>
      </w:pPr>
      <w:r>
        <w:t>Employees may access confidential information relating to customers, employees, products, systems and business operations. Such information must be accessed only for legitimate work purposes and protected against unauthorized disclosure.</w:t>
      </w:r>
    </w:p>
    <w:p>
      <w:pPr>
        <w:pStyle w:val="ListBullet"/>
      </w:pPr>
      <w:r>
        <w:t>Use strong credentials and approved authentication methods.</w:t>
      </w:r>
    </w:p>
    <w:p>
      <w:pPr>
        <w:pStyle w:val="ListBullet"/>
      </w:pPr>
      <w:r>
        <w:t>Do not share passwords or access credentials.</w:t>
      </w:r>
    </w:p>
    <w:p>
      <w:pPr>
        <w:pStyle w:val="ListBullet"/>
      </w:pPr>
      <w:r>
        <w:t>Store and transmit information only through approved tools.</w:t>
      </w:r>
    </w:p>
    <w:p>
      <w:pPr>
        <w:pStyle w:val="ListBullet"/>
      </w:pPr>
      <w:r>
        <w:t>Report suspected security incidents promptly.</w:t>
      </w:r>
    </w:p>
    <w:p>
      <w:pPr>
        <w:pStyle w:val="ListBullet"/>
      </w:pPr>
      <w:r>
        <w:t>Return or securely delete Company information when instructed.</w:t>
      </w:r>
    </w:p>
    <w:p>
      <w:pPr>
        <w:pStyle w:val="Heading1"/>
      </w:pPr>
      <w:r>
        <w:t>ACCEPTABLE USE OF TECHNOLOGY</w:t>
      </w:r>
    </w:p>
    <w:p>
      <w:pPr>
        <w:spacing w:after="120"/>
      </w:pPr>
      <w:r>
        <w:t>Company devices, networks, email and collaboration platforms must be used responsibly. Employees must not install unauthorized software, bypass security controls or use Company systems for unlawful, offensive or inappropriate activities.</w:t>
      </w:r>
    </w:p>
    <w:p>
      <w:pPr>
        <w:pStyle w:val="Heading1"/>
      </w:pPr>
      <w:r>
        <w:t>SOCIAL MEDIA AND EXTERNAL COMMUNICATION</w:t>
      </w:r>
    </w:p>
    <w:p>
      <w:pPr>
        <w:spacing w:after="120"/>
      </w:pPr>
      <w:r>
        <w:t>Only authorized representatives may make official statements on behalf of the Company. Employees must not disclose confidential information or represent personal opinions as official Company positions.</w:t>
      </w:r>
    </w:p>
    <w:p>
      <w:r>
        <w:br w:type="page"/>
      </w:r>
    </w:p>
    <w:p>
      <w:pPr>
        <w:pStyle w:val="Heading1"/>
      </w:pPr>
      <w:r>
        <w:t>9. PERFORMANCE MANAGEMENT</w:t>
      </w:r>
    </w:p>
    <w:p>
      <w:pPr>
        <w:spacing w:after="120"/>
      </w:pPr>
      <w:r>
        <w:t>Performance management is an ongoing process involving goal setting, feedback, coaching and periodic review. Managers are expected to communicate expectations clearly and provide constructive feedback.</w:t>
      </w:r>
    </w:p>
    <w:p>
      <w:pPr>
        <w:spacing w:after="120"/>
      </w:pPr>
      <w:r>
        <w:t>Where performance is below expectations, the Company may provide feedback, coaching, additional support or a structured improvement process. Outcomes depend on the circumstances, role requirements and demonstrated improvement.</w:t>
      </w:r>
    </w:p>
    <w:p>
      <w:pPr>
        <w:pStyle w:val="Heading1"/>
      </w:pPr>
      <w:r>
        <w:t>LEARNING AND DEVELOPMENT</w:t>
      </w:r>
    </w:p>
    <w:p>
      <w:pPr>
        <w:spacing w:after="120"/>
      </w:pPr>
      <w:r>
        <w:t>The Company encourages continuous learning through internal knowledge sharing, role-based training, mentoring and approved external development opportunities. Employees are expected to take ownership of maintaining relevant professional skills.</w:t>
      </w:r>
    </w:p>
    <w:p>
      <w:pPr>
        <w:pStyle w:val="Heading1"/>
      </w:pPr>
      <w:r>
        <w:t>CAREER MOVEMENT</w:t>
      </w:r>
    </w:p>
    <w:p>
      <w:pPr>
        <w:spacing w:after="120"/>
      </w:pPr>
      <w:r>
        <w:t>Promotions and internal opportunities are based on business needs, role availability, demonstrated capability, performance and other relevant criteria. Participation in a development program does not guarantee promotion.</w:t>
      </w:r>
    </w:p>
    <w:p>
      <w:pPr>
        <w:pStyle w:val="Heading1"/>
      </w:pPr>
      <w:r>
        <w:t>10. WORKPLACE HEALTH, SAFETY AND WELLBEING</w:t>
      </w:r>
    </w:p>
    <w:p>
      <w:pPr>
        <w:spacing w:after="120"/>
      </w:pPr>
      <w:r>
        <w:t>Employees must follow reasonable health, safety and workplace-security instructions. Hazards, unsafe conditions and workplace incidents should be reported promptly through the appropriate channel.</w:t>
      </w:r>
    </w:p>
    <w:p>
      <w:r>
        <w:br w:type="page"/>
      </w:r>
    </w:p>
    <w:p>
      <w:pPr>
        <w:pStyle w:val="Heading1"/>
      </w:pPr>
      <w:r>
        <w:t>11. GRIEVANCE AND SPEAK-UP PROCESS</w:t>
      </w:r>
    </w:p>
    <w:p>
      <w:pPr>
        <w:spacing w:after="120"/>
      </w:pPr>
      <w:r>
        <w:t>Employees are encouraged to raise workplace concerns in good faith. Concerns may normally be discussed with the immediate manager, HR or another designated channel when the manager is involved or the employee is uncomfortable approaching them.</w:t>
      </w:r>
    </w:p>
    <w:p>
      <w:pPr>
        <w:spacing w:after="120"/>
      </w:pPr>
      <w:r>
        <w:t>The Company will seek to review concerns fairly and appropriately. Retaliation against an employee who raises a genuine concern in good faith is prohibited.</w:t>
      </w:r>
    </w:p>
    <w:p>
      <w:pPr>
        <w:pStyle w:val="Heading1"/>
      </w:pPr>
      <w:r>
        <w:t>ANTI-HARASSMENT AND PROFESSIONAL RESPECT</w:t>
      </w:r>
    </w:p>
    <w:p>
      <w:pPr>
        <w:spacing w:after="120"/>
      </w:pPr>
      <w:r>
        <w:t>Harassment, bullying, intimidation and other inappropriate workplace behaviour are not acceptable. The Company expects all employees to maintain a respectful and inclusive professional environment.</w:t>
      </w:r>
    </w:p>
    <w:p>
      <w:pPr>
        <w:spacing w:after="120"/>
      </w:pPr>
      <w:r>
        <w:t>Complaints relating to sexual harassment will be addressed through the applicable internal process and relevant legal requirements. Employees should report concerns through designated channels as soon as reasonably possible.</w:t>
      </w:r>
    </w:p>
    <w:p>
      <w:pPr>
        <w:pStyle w:val="Heading1"/>
      </w:pPr>
      <w:r>
        <w:t>DISCIPLINARY ACTION</w:t>
      </w:r>
    </w:p>
    <w:p>
      <w:pPr>
        <w:spacing w:after="120"/>
      </w:pPr>
      <w:r>
        <w:t>Depending on the seriousness and circumstances of an issue, the Company may take corrective action ranging from coaching and warnings to more serious employment action. Reviews will consider available facts, applicable procedures and relevant contractual or legal requirements.</w:t>
      </w:r>
    </w:p>
    <w:p>
      <w:r>
        <w:br w:type="page"/>
      </w:r>
    </w:p>
    <w:p>
      <w:pPr>
        <w:pStyle w:val="Heading1"/>
      </w:pPr>
      <w:r>
        <w:t>12. SEPARATION AND EXIT MANAGEMENT</w:t>
      </w:r>
    </w:p>
    <w:p>
      <w:pPr>
        <w:spacing w:after="120"/>
      </w:pPr>
      <w:r>
        <w:t>Employees who intend to resign should submit notice through the process specified in their employment documentation and applicable Company procedures. The Company will manage knowledge transfer, asset return, access removal and other exit activities.</w:t>
      </w:r>
    </w:p>
    <w:p>
      <w:pPr>
        <w:pStyle w:val="ListBullet"/>
      </w:pPr>
      <w:r>
        <w:t>Complete assigned handover and documentation.</w:t>
      </w:r>
    </w:p>
    <w:p>
      <w:pPr>
        <w:pStyle w:val="ListBullet"/>
      </w:pPr>
      <w:r>
        <w:t>Return Company assets, devices, ID cards and materials.</w:t>
      </w:r>
    </w:p>
    <w:p>
      <w:pPr>
        <w:pStyle w:val="ListBullet"/>
      </w:pPr>
      <w:r>
        <w:t>Settle approved expenses and outstanding administrative requirements.</w:t>
      </w:r>
    </w:p>
    <w:p>
      <w:pPr>
        <w:pStyle w:val="ListBullet"/>
      </w:pPr>
      <w:r>
        <w:t>Participate in exit processes when requested.</w:t>
      </w:r>
    </w:p>
    <w:p>
      <w:pPr>
        <w:pStyle w:val="ListBullet"/>
      </w:pPr>
      <w:r>
        <w:t>Maintain confidentiality obligations after separation where applicable.</w:t>
      </w:r>
    </w:p>
    <w:p>
      <w:pPr>
        <w:pStyle w:val="Heading1"/>
      </w:pPr>
      <w:r>
        <w:t>FULL AND FINAL SETTLEMENT</w:t>
      </w:r>
    </w:p>
    <w:p>
      <w:pPr>
        <w:spacing w:after="120"/>
      </w:pPr>
      <w:r>
        <w:t>Final payroll and settlement activities are processed after completion of required exit activities and subject to applicable deductions, recoveries and statutory requirements.</w:t>
      </w:r>
    </w:p>
    <w:p>
      <w:pPr>
        <w:pStyle w:val="Heading1"/>
      </w:pPr>
      <w:r>
        <w:t>POLICY AMENDMENTS</w:t>
      </w:r>
    </w:p>
    <w:p>
      <w:pPr>
        <w:spacing w:after="120"/>
      </w:pPr>
      <w:r>
        <w:t>The Company may revise, suspend, replace or withdraw policies when business requirements, operational practices or applicable requirements change. Material updates will normally be communicated through official channels.</w:t>
      </w:r>
    </w:p>
    <w:p>
      <w:pPr>
        <w:pStyle w:val="Heading1"/>
      </w:pPr>
      <w:r>
        <w:t>CONTACT</w:t>
      </w:r>
    </w:p>
    <w:p>
      <w:pPr>
        <w:spacing w:after="120"/>
      </w:pPr>
      <w:r>
        <w:t>For HR policy questions, employees may contact the Human Resources Department through the approved internal communication channels.</w:t>
      </w:r>
    </w:p>
    <w:p>
      <w:r>
        <w:br w:type="page"/>
      </w:r>
    </w:p>
    <w:p>
      <w:pPr>
        <w:pStyle w:val="Heading1"/>
      </w:pPr>
      <w:r>
        <w:t>EMPLOYEE ACKNOWLEDGEMENT</w:t>
      </w:r>
    </w:p>
    <w:p>
      <w:pPr>
        <w:spacing w:after="120"/>
      </w:pPr>
      <w:r>
        <w:t>I acknowledge that I have received access to the Nexora Technologies Private Limited Human Resources Policy Manual, Version 1.0, effective 1 October 2026.</w:t>
      </w:r>
    </w:p>
    <w:p>
      <w:pPr>
        <w:spacing w:after="120"/>
      </w:pPr>
      <w:r>
        <w:t>I understand that I am responsible for reading and complying with the policies and standards applicable to my role. I understand that this manual is intended as a policy and guidance document and does not replace my employment agreement or applicable legal requirements.</w:t>
      </w:r>
    </w:p>
    <w:p>
      <w:r>
        <w:br/>
      </w:r>
    </w:p>
    <w:tbl>
      <w:tblPr>
        <w:tblStyle w:val="TableGrid"/>
        <w:tblW w:type="auto" w:w="0"/>
        <w:tblLook w:firstColumn="1" w:firstRow="1" w:lastColumn="0" w:lastRow="0" w:noHBand="0" w:noVBand="1" w:val="04A0"/>
      </w:tblPr>
      <w:tblGrid>
        <w:gridCol w:w="4968"/>
        <w:gridCol w:w="4968"/>
      </w:tblGrid>
      <w:tr>
        <w:tc>
          <w:tcPr>
            <w:tcW w:type="dxa" w:w="4968"/>
          </w:tcPr>
          <w:p>
            <w:r>
              <w:t>Employee Name</w:t>
            </w:r>
          </w:p>
        </w:tc>
        <w:tc>
          <w:tcPr>
            <w:tcW w:type="dxa" w:w="4968"/>
          </w:tcPr>
          <w:p>
            <w:r/>
          </w:p>
        </w:tc>
      </w:tr>
      <w:tr>
        <w:tc>
          <w:tcPr>
            <w:tcW w:type="dxa" w:w="4968"/>
          </w:tcPr>
          <w:p>
            <w:r>
              <w:t>Employee ID</w:t>
            </w:r>
          </w:p>
        </w:tc>
        <w:tc>
          <w:tcPr>
            <w:tcW w:type="dxa" w:w="4968"/>
          </w:tcPr>
          <w:p>
            <w:r/>
          </w:p>
        </w:tc>
      </w:tr>
      <w:tr>
        <w:tc>
          <w:tcPr>
            <w:tcW w:type="dxa" w:w="4968"/>
          </w:tcPr>
          <w:p>
            <w:r>
              <w:t>Department</w:t>
            </w:r>
          </w:p>
        </w:tc>
        <w:tc>
          <w:tcPr>
            <w:tcW w:type="dxa" w:w="4968"/>
          </w:tcPr>
          <w:p>
            <w:r/>
          </w:p>
        </w:tc>
      </w:tr>
      <w:tr>
        <w:tc>
          <w:tcPr>
            <w:tcW w:type="dxa" w:w="4968"/>
          </w:tcPr>
          <w:p>
            <w:r>
              <w:t>Signature</w:t>
            </w:r>
          </w:p>
        </w:tc>
        <w:tc>
          <w:tcPr>
            <w:tcW w:type="dxa" w:w="4968"/>
          </w:tcPr>
          <w:p>
            <w:r/>
          </w:p>
        </w:tc>
      </w:tr>
      <w:tr>
        <w:tc>
          <w:tcPr>
            <w:tcW w:type="dxa" w:w="4968"/>
          </w:tcPr>
          <w:p>
            <w:r>
              <w:t>Date</w:t>
            </w:r>
          </w:p>
        </w:tc>
        <w:tc>
          <w:tcPr>
            <w:tcW w:type="dxa" w:w="4968"/>
          </w:tcPr>
          <w:p>
            <w:r/>
          </w:p>
        </w:tc>
      </w:tr>
    </w:tbl>
    <w:p>
      <w:r>
        <w:br/>
      </w:r>
    </w:p>
    <w:p>
      <w:pPr>
        <w:pStyle w:val="Heading2"/>
      </w:pPr>
      <w:r>
        <w:t>HR USE ONLY</w:t>
      </w:r>
    </w:p>
    <w:tbl>
      <w:tblPr>
        <w:tblStyle w:val="TableGrid"/>
        <w:tblW w:type="auto" w:w="0"/>
        <w:tblLook w:firstColumn="1" w:firstRow="1" w:lastColumn="0" w:lastRow="0" w:noHBand="0" w:noVBand="1" w:val="04A0"/>
      </w:tblPr>
      <w:tblGrid>
        <w:gridCol w:w="4968"/>
        <w:gridCol w:w="4968"/>
      </w:tblGrid>
      <w:tr>
        <w:tc>
          <w:tcPr>
            <w:tcW w:type="dxa" w:w="4968"/>
          </w:tcPr>
          <w:p>
            <w:r>
              <w:t>Acknowledgement Received By</w:t>
            </w:r>
          </w:p>
        </w:tc>
        <w:tc>
          <w:tcPr>
            <w:tcW w:type="dxa" w:w="4968"/>
          </w:tcPr>
          <w:p>
            <w:r/>
          </w:p>
        </w:tc>
      </w:tr>
      <w:tr>
        <w:tc>
          <w:tcPr>
            <w:tcW w:type="dxa" w:w="4968"/>
          </w:tcPr>
          <w:p>
            <w:r>
              <w:t>Date Recorded</w:t>
            </w:r>
          </w:p>
        </w:tc>
        <w:tc>
          <w:tcPr>
            <w:tcW w:type="dxa" w:w="4968"/>
          </w:tcPr>
          <w:p>
            <w:r/>
          </w:p>
        </w:tc>
      </w:tr>
      <w:tr>
        <w:tc>
          <w:tcPr>
            <w:tcW w:type="dxa" w:w="4968"/>
          </w:tcPr>
          <w:p>
            <w:r>
              <w:t>HR Representative</w:t>
            </w:r>
          </w:p>
        </w:tc>
        <w:tc>
          <w:tcPr>
            <w:tcW w:type="dxa" w:w="4968"/>
          </w:tcPr>
          <w:p>
            <w:r/>
          </w:p>
        </w:tc>
      </w:tr>
    </w:tbl>
    <w:p>
      <w:pPr>
        <w:spacing w:after="120"/>
      </w:pPr>
      <w:r>
        <w:br/>
        <w:t>END OF DOCUMENT</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Confidential – Internal Use Only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NEXORA TECHNOLOGIES PRIVATE LIMITED | HR POLICY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