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onsolas" w:cs="Consolas" w:eastAsia="Consolas" w:hAnsi="Consolas"/>
          <w:caps/>
          <w:color w:val="3B37B0"/>
          <w:sz w:val="20"/>
          <w:szCs w:val="20"/>
        </w:rPr>
        <w:t xml:space="preserve">MUNIA FOMENTO</w:t>
      </w:r>
    </w:p>
    <w:p>
      <w:pPr>
        <w:spacing w:after="60" w:before="60"/>
      </w:pPr>
      <w:r>
        <w:rPr>
          <w:rFonts w:ascii="Cambria" w:cs="Cambria" w:eastAsia="Cambria" w:hAnsi="Cambria"/>
          <w:b/>
          <w:bCs/>
          <w:color w:val="1B2430"/>
          <w:sz w:val="56"/>
          <w:szCs w:val="56"/>
        </w:rPr>
        <w:t xml:space="preserve">Documento de Requerimientos</w:t>
      </w:r>
    </w:p>
    <w:p>
      <w:pPr>
        <w:spacing w:after="40"/>
      </w:pPr>
      <w:r>
        <w:rPr>
          <w:rFonts w:ascii="Cambria" w:cs="Cambria" w:eastAsia="Cambria" w:hAnsi="Cambria"/>
          <w:i/>
          <w:iCs/>
          <w:color w:val="6B7280"/>
          <w:sz w:val="26"/>
          <w:szCs w:val="26"/>
        </w:rPr>
        <w:t xml:space="preserve">Plataforma de gestión de fomento productivo municipal</w:t>
      </w:r>
    </w:p>
    <w:p>
      <w:pPr>
        <w:pBdr>
          <w:bottom w:val="single" w:color="3B37B0" w:sz="12"/>
        </w:pBdr>
        <w:spacing w:after="400" w:before="40"/>
      </w:pPr>
      <w:r>
        <w:rPr>
          <w:rFonts w:ascii="Calibri" w:cs="Calibri" w:eastAsia="Calibri" w:hAnsi="Calibri"/>
          <w:color w:val="1B2430"/>
          <w:sz w:val="21"/>
          <w:szCs w:val="21"/>
        </w:rPr>
        <w:t xml:space="preserve"/>
      </w:r>
    </w:p>
    <w:p>
      <w:pPr>
        <w:spacing w:after="500"/>
      </w:pPr>
      <w:r>
        <w:rPr>
          <w:rFonts w:ascii="Calibri" w:cs="Calibri" w:eastAsia="Calibri" w:hAnsi="Calibri"/>
          <w:color w:val="1B2430"/>
          <w:sz w:val="22"/>
          <w:szCs w:val="22"/>
        </w:rPr>
        <w:t xml:space="preserve">Especificación funcional y no funcional del MVP. Define qué debe hacer la plataforma, para quién y bajo qué condiciones, como base de alineamiento, construcción y evaluación.</w:t>
      </w:r>
    </w:p>
    <w:tbl>
      <w:tblPr>
        <w:tblW w:type="dxa" w:w="10080"/>
        <w:tblBorders>
          <w:top w:val="none"/>
          <w:left w:val="none"/>
          <w:bottom w:val="none"/>
          <w:right w:val="none"/>
          <w:insideH w:val="single" w:color="auto" w:sz="4"/>
          <w:insideV w:val="single" w:color="auto" w:sz="4"/>
        </w:tblBorders>
      </w:tblPr>
      <w:tblGrid>
        <w:gridCol w:w="3200"/>
        <w:gridCol w:w="6880"/>
      </w:tblGrid>
      <w:tr>
        <w:tc>
          <w:tcPr>
            <w:tcW w:type="dxa" w:w="32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Producto</w:t>
            </w:r>
          </w:p>
        </w:tc>
        <w:tc>
          <w:tcPr>
            <w:tcW w:type="dxa" w:w="68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MunIA Fomento — primer vertical de fomento de la suite MunIA</w:t>
            </w:r>
          </w:p>
        </w:tc>
      </w:tr>
      <w:tr>
        <w:tc>
          <w:tcPr>
            <w:tcW w:type="dxa" w:w="32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Versión del documento</w:t>
            </w:r>
          </w:p>
        </w:tc>
        <w:tc>
          <w:tcPr>
            <w:tcW w:type="dxa" w:w="68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1.0</w:t>
            </w:r>
          </w:p>
        </w:tc>
      </w:tr>
      <w:tr>
        <w:tc>
          <w:tcPr>
            <w:tcW w:type="dxa" w:w="32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Fecha</w:t>
            </w:r>
          </w:p>
        </w:tc>
        <w:tc>
          <w:tcPr>
            <w:tcW w:type="dxa" w:w="68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1 de septiembre de 2026</w:t>
            </w:r>
          </w:p>
        </w:tc>
      </w:tr>
      <w:tr>
        <w:tc>
          <w:tcPr>
            <w:tcW w:type="dxa" w:w="32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Estado</w:t>
            </w:r>
          </w:p>
        </w:tc>
        <w:tc>
          <w:tcPr>
            <w:tcW w:type="dxa" w:w="68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MVP implementado y verificado end-to-end</w:t>
            </w:r>
          </w:p>
        </w:tc>
      </w:tr>
      <w:tr>
        <w:tc>
          <w:tcPr>
            <w:tcW w:type="dxa" w:w="32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Alcance</w:t>
            </w:r>
          </w:p>
        </w:tc>
        <w:tc>
          <w:tcPr>
            <w:tcW w:type="dxa" w:w="68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Módulos Ferias, Capacitación y Fondos + transversales</w:t>
            </w:r>
          </w:p>
        </w:tc>
      </w:tr>
      <w:tr>
        <w:tc>
          <w:tcPr>
            <w:tcW w:type="dxa" w:w="32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Naturaleza</w:t>
            </w:r>
          </w:p>
        </w:tc>
        <w:tc>
          <w:tcPr>
            <w:tcW w:type="dxa" w:w="68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Producto multi-tenant; el municipio es configuración, no código</w:t>
            </w:r>
          </w:p>
        </w:tc>
      </w:tr>
    </w:tbl>
    <w:p>
      <w:pPr>
        <w:pageBreakBefore/>
        <w:spacing w:after="180"/>
      </w:pPr>
      <w:r>
        <w:rPr>
          <w:rFonts w:ascii="Cambria" w:cs="Cambria" w:eastAsia="Cambria" w:hAnsi="Cambria"/>
          <w:b/>
          <w:bCs/>
          <w:color w:val="1B2430"/>
          <w:sz w:val="30"/>
          <w:szCs w:val="30"/>
        </w:rPr>
        <w:t xml:space="preserve">Contenido</w:t>
      </w:r>
    </w:p>
    <w:p>
      <w:pPr>
        <w:spacing w:after="80" w:line="276"/>
        <w:ind w:left="0"/>
      </w:pPr>
      <w:r>
        <w:rPr>
          <w:rFonts w:ascii="Consolas" w:cs="Consolas" w:eastAsia="Consolas" w:hAnsi="Consolas"/>
          <w:b/>
          <w:bCs/>
          <w:color w:val="3B37B0"/>
          <w:sz w:val="20"/>
          <w:szCs w:val="20"/>
        </w:rPr>
        <w:t xml:space="preserve">1     </w:t>
      </w:r>
      <w:r>
        <w:rPr>
          <w:rFonts w:ascii="Calibri" w:cs="Calibri" w:eastAsia="Calibri" w:hAnsi="Calibri"/>
          <w:b/>
          <w:bCs/>
          <w:color w:val="1B2430"/>
          <w:sz w:val="22"/>
          <w:szCs w:val="22"/>
        </w:rPr>
        <w:t xml:space="preserve">Introducción</w:t>
      </w:r>
    </w:p>
    <w:p>
      <w:pPr>
        <w:spacing w:after="80" w:line="276"/>
        <w:ind w:left="0"/>
      </w:pPr>
      <w:r>
        <w:rPr>
          <w:rFonts w:ascii="Consolas" w:cs="Consolas" w:eastAsia="Consolas" w:hAnsi="Consolas"/>
          <w:b/>
          <w:bCs/>
          <w:color w:val="3B37B0"/>
          <w:sz w:val="20"/>
          <w:szCs w:val="20"/>
        </w:rPr>
        <w:t xml:space="preserve">2     </w:t>
      </w:r>
      <w:r>
        <w:rPr>
          <w:rFonts w:ascii="Calibri" w:cs="Calibri" w:eastAsia="Calibri" w:hAnsi="Calibri"/>
          <w:b/>
          <w:bCs/>
          <w:color w:val="1B2430"/>
          <w:sz w:val="22"/>
          <w:szCs w:val="22"/>
        </w:rPr>
        <w:t xml:space="preserve">Actores, roles y gobernanza del acceso</w:t>
      </w:r>
    </w:p>
    <w:p>
      <w:pPr>
        <w:spacing w:after="80" w:line="276"/>
        <w:ind w:left="0"/>
      </w:pPr>
      <w:r>
        <w:rPr>
          <w:rFonts w:ascii="Consolas" w:cs="Consolas" w:eastAsia="Consolas" w:hAnsi="Consolas"/>
          <w:b/>
          <w:bCs/>
          <w:color w:val="3B37B0"/>
          <w:sz w:val="20"/>
          <w:szCs w:val="20"/>
        </w:rPr>
        <w:t xml:space="preserve">3     </w:t>
      </w:r>
      <w:r>
        <w:rPr>
          <w:rFonts w:ascii="Calibri" w:cs="Calibri" w:eastAsia="Calibri" w:hAnsi="Calibri"/>
          <w:b/>
          <w:bCs/>
          <w:color w:val="1B2430"/>
          <w:sz w:val="22"/>
          <w:szCs w:val="22"/>
        </w:rPr>
        <w:t xml:space="preserve">Requisitos funcionales</w:t>
      </w:r>
    </w:p>
    <w:p>
      <w:pPr>
        <w:spacing w:after="40" w:line="276"/>
        <w:ind w:left="640"/>
      </w:pPr>
      <w:r>
        <w:rPr>
          <w:rFonts w:ascii="Consolas" w:cs="Consolas" w:eastAsia="Consolas" w:hAnsi="Consolas"/>
          <w:b w:val="false"/>
          <w:bCs w:val="false"/>
          <w:color w:val="3B37B0"/>
          <w:sz w:val="18"/>
          <w:szCs w:val="18"/>
        </w:rPr>
        <w:t xml:space="preserve">3.1   </w:t>
      </w:r>
      <w:r>
        <w:rPr>
          <w:rFonts w:ascii="Calibri" w:cs="Calibri" w:eastAsia="Calibri" w:hAnsi="Calibri"/>
          <w:b w:val="false"/>
          <w:bCs w:val="false"/>
          <w:color w:val="1B2430"/>
          <w:sz w:val="20"/>
          <w:szCs w:val="20"/>
        </w:rPr>
        <w:t xml:space="preserve">Autenticación e identidad</w:t>
      </w:r>
    </w:p>
    <w:p>
      <w:pPr>
        <w:spacing w:after="40" w:line="276"/>
        <w:ind w:left="640"/>
      </w:pPr>
      <w:r>
        <w:rPr>
          <w:rFonts w:ascii="Consolas" w:cs="Consolas" w:eastAsia="Consolas" w:hAnsi="Consolas"/>
          <w:b w:val="false"/>
          <w:bCs w:val="false"/>
          <w:color w:val="3B37B0"/>
          <w:sz w:val="18"/>
          <w:szCs w:val="18"/>
        </w:rPr>
        <w:t xml:space="preserve">3.2   </w:t>
      </w:r>
      <w:r>
        <w:rPr>
          <w:rFonts w:ascii="Calibri" w:cs="Calibri" w:eastAsia="Calibri" w:hAnsi="Calibri"/>
          <w:b w:val="false"/>
          <w:bCs w:val="false"/>
          <w:color w:val="1B2430"/>
          <w:sz w:val="20"/>
          <w:szCs w:val="20"/>
        </w:rPr>
        <w:t xml:space="preserve">Control de acceso y gobernanza</w:t>
      </w:r>
    </w:p>
    <w:p>
      <w:pPr>
        <w:spacing w:after="40" w:line="276"/>
        <w:ind w:left="640"/>
      </w:pPr>
      <w:r>
        <w:rPr>
          <w:rFonts w:ascii="Consolas" w:cs="Consolas" w:eastAsia="Consolas" w:hAnsi="Consolas"/>
          <w:b w:val="false"/>
          <w:bCs w:val="false"/>
          <w:color w:val="3B37B0"/>
          <w:sz w:val="18"/>
          <w:szCs w:val="18"/>
        </w:rPr>
        <w:t xml:space="preserve">3.3   </w:t>
      </w:r>
      <w:r>
        <w:rPr>
          <w:rFonts w:ascii="Calibri" w:cs="Calibri" w:eastAsia="Calibri" w:hAnsi="Calibri"/>
          <w:b w:val="false"/>
          <w:bCs w:val="false"/>
          <w:color w:val="1B2430"/>
          <w:sz w:val="20"/>
          <w:szCs w:val="20"/>
        </w:rPr>
        <w:t xml:space="preserve">Navegación y experiencia base</w:t>
      </w:r>
    </w:p>
    <w:p>
      <w:pPr>
        <w:spacing w:after="40" w:line="276"/>
        <w:ind w:left="640"/>
      </w:pPr>
      <w:r>
        <w:rPr>
          <w:rFonts w:ascii="Consolas" w:cs="Consolas" w:eastAsia="Consolas" w:hAnsi="Consolas"/>
          <w:b w:val="false"/>
          <w:bCs w:val="false"/>
          <w:color w:val="3B37B0"/>
          <w:sz w:val="18"/>
          <w:szCs w:val="18"/>
        </w:rPr>
        <w:t xml:space="preserve">3.4   </w:t>
      </w:r>
      <w:r>
        <w:rPr>
          <w:rFonts w:ascii="Calibri" w:cs="Calibri" w:eastAsia="Calibri" w:hAnsi="Calibri"/>
          <w:b w:val="false"/>
          <w:bCs w:val="false"/>
          <w:color w:val="1B2430"/>
          <w:sz w:val="20"/>
          <w:szCs w:val="20"/>
        </w:rPr>
        <w:t xml:space="preserve">Portal del emprendedor</w:t>
      </w:r>
    </w:p>
    <w:p>
      <w:pPr>
        <w:spacing w:after="40" w:line="276"/>
        <w:ind w:left="640"/>
      </w:pPr>
      <w:r>
        <w:rPr>
          <w:rFonts w:ascii="Consolas" w:cs="Consolas" w:eastAsia="Consolas" w:hAnsi="Consolas"/>
          <w:b w:val="false"/>
          <w:bCs w:val="false"/>
          <w:color w:val="3B37B0"/>
          <w:sz w:val="18"/>
          <w:szCs w:val="18"/>
        </w:rPr>
        <w:t xml:space="preserve">3.5   </w:t>
      </w:r>
      <w:r>
        <w:rPr>
          <w:rFonts w:ascii="Calibri" w:cs="Calibri" w:eastAsia="Calibri" w:hAnsi="Calibri"/>
          <w:b w:val="false"/>
          <w:bCs w:val="false"/>
          <w:color w:val="1B2430"/>
          <w:sz w:val="20"/>
          <w:szCs w:val="20"/>
        </w:rPr>
        <w:t xml:space="preserve">Módulo Ferias</w:t>
      </w:r>
    </w:p>
    <w:p>
      <w:pPr>
        <w:spacing w:after="40" w:line="276"/>
        <w:ind w:left="640"/>
      </w:pPr>
      <w:r>
        <w:rPr>
          <w:rFonts w:ascii="Consolas" w:cs="Consolas" w:eastAsia="Consolas" w:hAnsi="Consolas"/>
          <w:b w:val="false"/>
          <w:bCs w:val="false"/>
          <w:color w:val="3B37B0"/>
          <w:sz w:val="18"/>
          <w:szCs w:val="18"/>
        </w:rPr>
        <w:t xml:space="preserve">3.6   </w:t>
      </w:r>
      <w:r>
        <w:rPr>
          <w:rFonts w:ascii="Calibri" w:cs="Calibri" w:eastAsia="Calibri" w:hAnsi="Calibri"/>
          <w:b w:val="false"/>
          <w:bCs w:val="false"/>
          <w:color w:val="1B2430"/>
          <w:sz w:val="20"/>
          <w:szCs w:val="20"/>
        </w:rPr>
        <w:t xml:space="preserve">Módulo Capacitación</w:t>
      </w:r>
    </w:p>
    <w:p>
      <w:pPr>
        <w:spacing w:after="40" w:line="276"/>
        <w:ind w:left="640"/>
      </w:pPr>
      <w:r>
        <w:rPr>
          <w:rFonts w:ascii="Consolas" w:cs="Consolas" w:eastAsia="Consolas" w:hAnsi="Consolas"/>
          <w:b w:val="false"/>
          <w:bCs w:val="false"/>
          <w:color w:val="3B37B0"/>
          <w:sz w:val="18"/>
          <w:szCs w:val="18"/>
        </w:rPr>
        <w:t xml:space="preserve">3.7   </w:t>
      </w:r>
      <w:r>
        <w:rPr>
          <w:rFonts w:ascii="Calibri" w:cs="Calibri" w:eastAsia="Calibri" w:hAnsi="Calibri"/>
          <w:b w:val="false"/>
          <w:bCs w:val="false"/>
          <w:color w:val="1B2430"/>
          <w:sz w:val="20"/>
          <w:szCs w:val="20"/>
        </w:rPr>
        <w:t xml:space="preserve">Módulo Fondos</w:t>
      </w:r>
    </w:p>
    <w:p>
      <w:pPr>
        <w:spacing w:after="40" w:line="276"/>
        <w:ind w:left="640"/>
      </w:pPr>
      <w:r>
        <w:rPr>
          <w:rFonts w:ascii="Consolas" w:cs="Consolas" w:eastAsia="Consolas" w:hAnsi="Consolas"/>
          <w:b w:val="false"/>
          <w:bCs w:val="false"/>
          <w:color w:val="3B37B0"/>
          <w:sz w:val="18"/>
          <w:szCs w:val="18"/>
        </w:rPr>
        <w:t xml:space="preserve">3.8   </w:t>
      </w:r>
      <w:r>
        <w:rPr>
          <w:rFonts w:ascii="Calibri" w:cs="Calibri" w:eastAsia="Calibri" w:hAnsi="Calibri"/>
          <w:b w:val="false"/>
          <w:bCs w:val="false"/>
          <w:color w:val="1B2430"/>
          <w:sz w:val="20"/>
          <w:szCs w:val="20"/>
        </w:rPr>
        <w:t xml:space="preserve">Notificaciones</w:t>
      </w:r>
    </w:p>
    <w:p>
      <w:pPr>
        <w:spacing w:after="40" w:line="276"/>
        <w:ind w:left="640"/>
      </w:pPr>
      <w:r>
        <w:rPr>
          <w:rFonts w:ascii="Consolas" w:cs="Consolas" w:eastAsia="Consolas" w:hAnsi="Consolas"/>
          <w:b w:val="false"/>
          <w:bCs w:val="false"/>
          <w:color w:val="3B37B0"/>
          <w:sz w:val="18"/>
          <w:szCs w:val="18"/>
        </w:rPr>
        <w:t xml:space="preserve">3.9   </w:t>
      </w:r>
      <w:r>
        <w:rPr>
          <w:rFonts w:ascii="Calibri" w:cs="Calibri" w:eastAsia="Calibri" w:hAnsi="Calibri"/>
          <w:b w:val="false"/>
          <w:bCs w:val="false"/>
          <w:color w:val="1B2430"/>
          <w:sz w:val="20"/>
          <w:szCs w:val="20"/>
        </w:rPr>
        <w:t xml:space="preserve">Configuración del municipio (tenant)</w:t>
      </w:r>
    </w:p>
    <w:p>
      <w:pPr>
        <w:spacing w:after="40" w:line="276"/>
        <w:ind w:left="640"/>
      </w:pPr>
      <w:r>
        <w:rPr>
          <w:rFonts w:ascii="Consolas" w:cs="Consolas" w:eastAsia="Consolas" w:hAnsi="Consolas"/>
          <w:b w:val="false"/>
          <w:bCs w:val="false"/>
          <w:color w:val="3B37B0"/>
          <w:sz w:val="18"/>
          <w:szCs w:val="18"/>
        </w:rPr>
        <w:t xml:space="preserve">3.10   </w:t>
      </w:r>
      <w:r>
        <w:rPr>
          <w:rFonts w:ascii="Calibri" w:cs="Calibri" w:eastAsia="Calibri" w:hAnsi="Calibri"/>
          <w:b w:val="false"/>
          <w:bCs w:val="false"/>
          <w:color w:val="1B2430"/>
          <w:sz w:val="20"/>
          <w:szCs w:val="20"/>
        </w:rPr>
        <w:t xml:space="preserve">Archivos y adjuntos</w:t>
      </w:r>
    </w:p>
    <w:p>
      <w:pPr>
        <w:spacing w:after="80" w:line="276"/>
        <w:ind w:left="0"/>
      </w:pPr>
      <w:r>
        <w:rPr>
          <w:rFonts w:ascii="Consolas" w:cs="Consolas" w:eastAsia="Consolas" w:hAnsi="Consolas"/>
          <w:b/>
          <w:bCs/>
          <w:color w:val="3B37B0"/>
          <w:sz w:val="20"/>
          <w:szCs w:val="20"/>
        </w:rPr>
        <w:t xml:space="preserve">4     </w:t>
      </w:r>
      <w:r>
        <w:rPr>
          <w:rFonts w:ascii="Calibri" w:cs="Calibri" w:eastAsia="Calibri" w:hAnsi="Calibri"/>
          <w:b/>
          <w:bCs/>
          <w:color w:val="1B2430"/>
          <w:sz w:val="22"/>
          <w:szCs w:val="22"/>
        </w:rPr>
        <w:t xml:space="preserve">Requisitos no funcionales</w:t>
      </w:r>
    </w:p>
    <w:p>
      <w:pPr>
        <w:spacing w:after="80" w:line="276"/>
        <w:ind w:left="0"/>
      </w:pPr>
      <w:r>
        <w:rPr>
          <w:rFonts w:ascii="Consolas" w:cs="Consolas" w:eastAsia="Consolas" w:hAnsi="Consolas"/>
          <w:b/>
          <w:bCs/>
          <w:color w:val="3B37B0"/>
          <w:sz w:val="20"/>
          <w:szCs w:val="20"/>
        </w:rPr>
        <w:t xml:space="preserve">5     </w:t>
      </w:r>
      <w:r>
        <w:rPr>
          <w:rFonts w:ascii="Calibri" w:cs="Calibri" w:eastAsia="Calibri" w:hAnsi="Calibri"/>
          <w:b/>
          <w:bCs/>
          <w:color w:val="1B2430"/>
          <w:sz w:val="22"/>
          <w:szCs w:val="22"/>
        </w:rPr>
        <w:t xml:space="preserve">Integraciones y adaptadores intercambiables</w:t>
      </w:r>
    </w:p>
    <w:p>
      <w:pPr>
        <w:spacing w:after="80" w:line="276"/>
        <w:ind w:left="0"/>
      </w:pPr>
      <w:r>
        <w:rPr>
          <w:rFonts w:ascii="Consolas" w:cs="Consolas" w:eastAsia="Consolas" w:hAnsi="Consolas"/>
          <w:b/>
          <w:bCs/>
          <w:color w:val="3B37B0"/>
          <w:sz w:val="20"/>
          <w:szCs w:val="20"/>
        </w:rPr>
        <w:t xml:space="preserve">6     </w:t>
      </w:r>
      <w:r>
        <w:rPr>
          <w:rFonts w:ascii="Calibri" w:cs="Calibri" w:eastAsia="Calibri" w:hAnsi="Calibri"/>
          <w:b/>
          <w:bCs/>
          <w:color w:val="1B2430"/>
          <w:sz w:val="22"/>
          <w:szCs w:val="22"/>
        </w:rPr>
        <w:t xml:space="preserve">Restricciones, supuestos y anti-patrones</w:t>
      </w:r>
    </w:p>
    <w:p>
      <w:pPr>
        <w:spacing w:after="80" w:line="276"/>
        <w:ind w:left="0"/>
      </w:pPr>
      <w:r>
        <w:rPr>
          <w:rFonts w:ascii="Consolas" w:cs="Consolas" w:eastAsia="Consolas" w:hAnsi="Consolas"/>
          <w:b/>
          <w:bCs/>
          <w:color w:val="3B37B0"/>
          <w:sz w:val="20"/>
          <w:szCs w:val="20"/>
        </w:rPr>
        <w:t xml:space="preserve">7     </w:t>
      </w:r>
      <w:r>
        <w:rPr>
          <w:rFonts w:ascii="Calibri" w:cs="Calibri" w:eastAsia="Calibri" w:hAnsi="Calibri"/>
          <w:b/>
          <w:bCs/>
          <w:color w:val="1B2430"/>
          <w:sz w:val="22"/>
          <w:szCs w:val="22"/>
        </w:rPr>
        <w:t xml:space="preserve">Modelo de datos (resumen)</w:t>
      </w:r>
    </w:p>
    <w:p>
      <w:pPr>
        <w:spacing w:after="80" w:line="276"/>
        <w:ind w:left="0"/>
      </w:pPr>
      <w:r>
        <w:rPr>
          <w:rFonts w:ascii="Consolas" w:cs="Consolas" w:eastAsia="Consolas" w:hAnsi="Consolas"/>
          <w:b/>
          <w:bCs/>
          <w:color w:val="3B37B0"/>
          <w:sz w:val="20"/>
          <w:szCs w:val="20"/>
        </w:rPr>
        <w:t xml:space="preserve">8     </w:t>
      </w:r>
      <w:r>
        <w:rPr>
          <w:rFonts w:ascii="Calibri" w:cs="Calibri" w:eastAsia="Calibri" w:hAnsi="Calibri"/>
          <w:b/>
          <w:bCs/>
          <w:color w:val="1B2430"/>
          <w:sz w:val="22"/>
          <w:szCs w:val="22"/>
        </w:rPr>
        <w:t xml:space="preserve">Criterios de aceptación (clave)</w:t>
      </w:r>
    </w:p>
    <w:p>
      <w:pPr>
        <w:spacing w:after="80" w:line="276"/>
        <w:ind w:left="0"/>
      </w:pPr>
      <w:r>
        <w:rPr>
          <w:rFonts w:ascii="Consolas" w:cs="Consolas" w:eastAsia="Consolas" w:hAnsi="Consolas"/>
          <w:b/>
          <w:bCs/>
          <w:color w:val="3B37B0"/>
          <w:sz w:val="20"/>
          <w:szCs w:val="20"/>
        </w:rPr>
        <w:t xml:space="preserve">9     </w:t>
      </w:r>
      <w:r>
        <w:rPr>
          <w:rFonts w:ascii="Calibri" w:cs="Calibri" w:eastAsia="Calibri" w:hAnsi="Calibri"/>
          <w:b/>
          <w:bCs/>
          <w:color w:val="1B2430"/>
          <w:sz w:val="22"/>
          <w:szCs w:val="22"/>
        </w:rPr>
        <w:t xml:space="preserve">Glosario</w:t>
      </w:r>
    </w:p>
    <w:p>
      <w:pPr>
        <w:spacing w:after="80" w:line="276"/>
        <w:ind w:left="0"/>
      </w:pPr>
      <w:r>
        <w:rPr>
          <w:rFonts w:ascii="Consolas" w:cs="Consolas" w:eastAsia="Consolas" w:hAnsi="Consolas"/>
          <w:b/>
          <w:bCs/>
          <w:color w:val="3B37B0"/>
          <w:sz w:val="20"/>
          <w:szCs w:val="20"/>
        </w:rPr>
        <w:t xml:space="preserve">10    </w:t>
      </w:r>
      <w:r>
        <w:rPr>
          <w:rFonts w:ascii="Calibri" w:cs="Calibri" w:eastAsia="Calibri" w:hAnsi="Calibri"/>
          <w:b/>
          <w:bCs/>
          <w:color w:val="1B2430"/>
          <w:sz w:val="22"/>
          <w:szCs w:val="22"/>
        </w:rPr>
        <w:t xml:space="preserve">Anexos</w:t>
      </w:r>
    </w:p>
    <w:p>
      <w:pPr>
        <w:pStyle w:val="Heading1"/>
        <w:pageBreakBefore/>
        <w:spacing w:after="140" w:before="360"/>
      </w:pPr>
      <w:r>
        <w:rPr>
          <w:rFonts w:ascii="Cambria" w:cs="Cambria" w:eastAsia="Cambria" w:hAnsi="Cambria"/>
          <w:b/>
          <w:bCs/>
          <w:color w:val="3B37B0"/>
          <w:sz w:val="30"/>
          <w:szCs w:val="30"/>
        </w:rPr>
        <w:t xml:space="preserve">1   Introducción</w:t>
      </w:r>
    </w:p>
    <w:p>
      <w:pPr>
        <w:pStyle w:val="Heading2"/>
        <w:spacing w:after="100" w:before="240"/>
      </w:pPr>
      <w:r>
        <w:rPr>
          <w:rFonts w:ascii="Cambria" w:cs="Cambria" w:eastAsia="Cambria" w:hAnsi="Cambria"/>
          <w:b/>
          <w:bCs/>
          <w:color w:val="1B2430"/>
          <w:sz w:val="24"/>
          <w:szCs w:val="24"/>
        </w:rPr>
        <w:t xml:space="preserve">1.1  Propósito</w:t>
      </w:r>
    </w:p>
    <w:p>
      <w:pPr>
        <w:spacing w:after="120" w:before="0" w:line="276"/>
      </w:pPr>
      <w:r>
        <w:rPr>
          <w:rFonts w:ascii="Calibri" w:cs="Calibri" w:eastAsia="Calibri" w:hAnsi="Calibri"/>
          <w:color w:val="1B2430"/>
          <w:sz w:val="21"/>
          <w:szCs w:val="21"/>
        </w:rPr>
        <w:t xml:space="preserve">Este documento especifica los requerimientos de MunIA Fomento, una plataforma web que digitaliza la relación entre un municipio y sus emprendedores en materia de fomento productivo. Sirve como referencia única para alinear a los interesados (municipio, DIDECO/alcaldía, equipo de producto y desarrollo), guiar la construcción y evaluar la aceptación del producto.</w:t>
      </w:r>
    </w:p>
    <w:p>
      <w:pPr>
        <w:pStyle w:val="Heading2"/>
        <w:spacing w:after="100" w:before="240"/>
      </w:pPr>
      <w:r>
        <w:rPr>
          <w:rFonts w:ascii="Cambria" w:cs="Cambria" w:eastAsia="Cambria" w:hAnsi="Cambria"/>
          <w:b/>
          <w:bCs/>
          <w:color w:val="1B2430"/>
          <w:sz w:val="24"/>
          <w:szCs w:val="24"/>
        </w:rPr>
        <w:t xml:space="preserve">1.2  Visión de producto</w:t>
      </w:r>
    </w:p>
    <w:p>
      <w:pPr>
        <w:spacing w:after="120" w:before="0" w:line="276"/>
      </w:pPr>
      <w:r>
        <w:rPr>
          <w:rFonts w:ascii="Calibri" w:cs="Calibri" w:eastAsia="Calibri" w:hAnsi="Calibri"/>
          <w:color w:val="1B2430"/>
          <w:sz w:val="21"/>
          <w:szCs w:val="21"/>
        </w:rPr>
        <w:t xml:space="preserve">No es un sistema de ferias: es una plataforma de múltiples módulos (</w:t>
      </w:r>
      <w:r>
        <w:rPr>
          <w:rFonts w:ascii="Calibri" w:cs="Calibri" w:eastAsia="Calibri" w:hAnsi="Calibri"/>
          <w:b/>
          <w:bCs/>
          <w:color w:val="1B2430"/>
          <w:sz w:val="21"/>
          <w:szCs w:val="21"/>
        </w:rPr>
        <w:t xml:space="preserve">Ferias, Capacitación, Fondos</w:t>
      </w:r>
      <w:r>
        <w:rPr>
          <w:rFonts w:ascii="Calibri" w:cs="Calibri" w:eastAsia="Calibri" w:hAnsi="Calibri"/>
          <w:color w:val="1B2430"/>
          <w:sz w:val="21"/>
          <w:szCs w:val="21"/>
        </w:rPr>
        <w:t xml:space="preserve">, y más por venir) con dos caras —la del emprendedor, que se auto-inscribe, y la del municipio, cuyos funcionarios acceden por rol asignado. Ambas conviven en la misma plataforma; cada módulo tiene una cara de participación y una de gestión.</w:t>
      </w:r>
    </w:p>
    <w:p>
      <w:pPr>
        <w:spacing w:after="120" w:before="0" w:line="276"/>
      </w:pPr>
      <w:r>
        <w:rPr>
          <w:rFonts w:ascii="Calibri" w:cs="Calibri" w:eastAsia="Calibri" w:hAnsi="Calibri"/>
          <w:b/>
          <w:bCs/>
          <w:color w:val="3B37B0"/>
          <w:sz w:val="21"/>
          <w:szCs w:val="21"/>
        </w:rPr>
        <w:t xml:space="preserve">Principio rector — producto, no cliente. </w:t>
      </w:r>
      <w:r>
        <w:rPr>
          <w:rFonts w:ascii="Calibri" w:cs="Calibri" w:eastAsia="Calibri" w:hAnsi="Calibri"/>
          <w:color w:val="1B2430"/>
          <w:sz w:val="21"/>
          <w:szCs w:val="21"/>
        </w:rPr>
        <w:t xml:space="preserve">El municipio concreto es una variable de configuración (nombre, logo, datos, dominio de correo, módulos activos), nunca algo cableado en el código. La plataforma debe poder desplegarse para cualquier comuna sin tocar código, con calidad de activo replicable a cientos de municipios.</w:t>
      </w:r>
    </w:p>
    <w:p>
      <w:pPr>
        <w:spacing w:after="120" w:before="0" w:line="276"/>
      </w:pPr>
      <w:r>
        <w:rPr>
          <w:rFonts w:ascii="Calibri" w:cs="Calibri" w:eastAsia="Calibri" w:hAnsi="Calibri"/>
          <w:b/>
          <w:bCs/>
          <w:color w:val="1B2430"/>
          <w:sz w:val="21"/>
          <w:szCs w:val="21"/>
        </w:rPr>
        <w:t xml:space="preserve">Prioridad de usabilidad. </w:t>
      </w:r>
      <w:r>
        <w:rPr>
          <w:rFonts w:ascii="Calibri" w:cs="Calibri" w:eastAsia="Calibri" w:hAnsi="Calibri"/>
          <w:color w:val="1B2430"/>
          <w:sz w:val="21"/>
          <w:szCs w:val="21"/>
        </w:rPr>
        <w:t xml:space="preserve">En un municipio, cada segundo de fricción mata la adopción. El sistema prioriza a funcionarios no técnicos y a emprendedores con baja alfabetización digital, y debe degradar con gracia: ser útil aunque solo se completen los flujos mínimos.</w:t>
      </w:r>
    </w:p>
    <w:p>
      <w:pPr>
        <w:pStyle w:val="Heading2"/>
        <w:spacing w:after="100" w:before="240"/>
      </w:pPr>
      <w:r>
        <w:rPr>
          <w:rFonts w:ascii="Cambria" w:cs="Cambria" w:eastAsia="Cambria" w:hAnsi="Cambria"/>
          <w:b/>
          <w:bCs/>
          <w:color w:val="1B2430"/>
          <w:sz w:val="24"/>
          <w:szCs w:val="24"/>
        </w:rPr>
        <w:t xml:space="preserve">1.3  Alcance del MVP</w:t>
      </w:r>
    </w:p>
    <w:p>
      <w:pPr>
        <w:spacing w:after="120" w:before="0" w:line="276"/>
      </w:pPr>
      <w:r>
        <w:rPr>
          <w:rFonts w:ascii="Calibri" w:cs="Calibri" w:eastAsia="Calibri" w:hAnsi="Calibri"/>
          <w:b/>
          <w:bCs/>
          <w:color w:val="1B2430"/>
          <w:sz w:val="21"/>
          <w:szCs w:val="21"/>
        </w:rPr>
        <w:t xml:space="preserve">Incluye: </w:t>
      </w:r>
      <w:r>
        <w:rPr>
          <w:rFonts w:ascii="Calibri" w:cs="Calibri" w:eastAsia="Calibri" w:hAnsi="Calibri"/>
          <w:color w:val="1B2430"/>
          <w:sz w:val="21"/>
          <w:szCs w:val="21"/>
        </w:rPr>
        <w:t xml:space="preserve">los tres módulos con ambas caras, autenticación y control de acceso por rol × módulo, portal del emprendedor con cumplimiento Ley 21.719, notificaciones por evento con canal email, gestión de usuarios, configuración de municipio y trazabilidad de acciones sensibles.</w:t>
      </w:r>
    </w:p>
    <w:p>
      <w:pPr>
        <w:spacing w:after="120" w:before="0" w:line="276"/>
      </w:pPr>
      <w:r>
        <w:rPr>
          <w:rFonts w:ascii="Calibri" w:cs="Calibri" w:eastAsia="Calibri" w:hAnsi="Calibri"/>
          <w:b/>
          <w:bCs/>
          <w:color w:val="1B2430"/>
          <w:sz w:val="21"/>
          <w:szCs w:val="21"/>
        </w:rPr>
        <w:t xml:space="preserve">No incluye (fuera del MVP): </w:t>
      </w:r>
      <w:r>
        <w:rPr>
          <w:rFonts w:ascii="Calibri" w:cs="Calibri" w:eastAsia="Calibri" w:hAnsi="Calibri"/>
          <w:color w:val="1B2430"/>
          <w:sz w:val="21"/>
          <w:szCs w:val="21"/>
        </w:rPr>
        <w:t xml:space="preserve">WhatsApp y chat bidireccional; sincronización automática con fuentes externas de fondos; y cualquier acoplamiento directo al BPMN, ticketing o RAG productivo de MunIA core (se integra por adaptadores y APIs propias).</w:t>
      </w:r>
    </w:p>
    <w:p>
      <w:pPr>
        <w:pStyle w:val="Heading1"/>
        <w:spacing w:after="140" w:before="360"/>
      </w:pPr>
      <w:r>
        <w:rPr>
          <w:rFonts w:ascii="Cambria" w:cs="Cambria" w:eastAsia="Cambria" w:hAnsi="Cambria"/>
          <w:b/>
          <w:bCs/>
          <w:color w:val="3B37B0"/>
          <w:sz w:val="30"/>
          <w:szCs w:val="30"/>
        </w:rPr>
        <w:t xml:space="preserve">2   Actores, roles y gobernanza del acceso</w:t>
      </w:r>
    </w:p>
    <w:p>
      <w:pPr>
        <w:spacing w:after="120" w:before="0" w:line="276"/>
      </w:pPr>
      <w:r>
        <w:rPr>
          <w:rFonts w:ascii="Calibri" w:cs="Calibri" w:eastAsia="Calibri" w:hAnsi="Calibri"/>
          <w:b/>
          <w:bCs/>
          <w:color w:val="3B37B0"/>
          <w:sz w:val="21"/>
          <w:szCs w:val="21"/>
        </w:rPr>
        <w:t xml:space="preserve">Principio: el acceso se asigna, no se toma. </w:t>
      </w:r>
      <w:r>
        <w:rPr>
          <w:rFonts w:ascii="Calibri" w:cs="Calibri" w:eastAsia="Calibri" w:hAnsi="Calibri"/>
          <w:color w:val="1B2430"/>
          <w:sz w:val="21"/>
          <w:szCs w:val="21"/>
        </w:rPr>
        <w:t xml:space="preserve">El emprendedor se auto-inscribe (ciudadano, puerta abierta); el funcionario es dado de alta por el administrador (poder, puerta asignada). El control de acceso se resuelve por rol y por módulo, y se valida en el backend en cada operación.</w:t>
      </w:r>
    </w:p>
    <w:p>
      <w:pPr>
        <w:spacing w:after="60"/>
      </w:pPr>
      <w:r>
        <w:rPr>
          <w:rFonts w:ascii="Calibri" w:cs="Calibri" w:eastAsia="Calibri" w:hAnsi="Calibri"/>
          <w:color w:val="1B2430"/>
          <w:sz w:val="21"/>
          <w:szCs w:val="21"/>
        </w:rPr>
        <w:t xml:space="preserve"/>
      </w:r>
    </w:p>
    <w:tbl>
      <w:tblPr>
        <w:tblW w:type="dxa" w:w="10080"/>
        <w:tblBorders>
          <w:top w:val="none"/>
          <w:left w:val="none"/>
          <w:bottom w:val="none"/>
          <w:right w:val="none"/>
          <w:insideH w:val="single" w:color="auto" w:sz="4"/>
          <w:insideV w:val="single" w:color="auto" w:sz="4"/>
        </w:tblBorders>
      </w:tblPr>
      <w:tblGrid>
        <w:gridCol w:w="2600"/>
        <w:gridCol w:w="7480"/>
      </w:tblGrid>
      <w:tr>
        <w:trPr>
          <w:tblHeader/>
        </w:trPr>
        <w:tc>
          <w:tcPr>
            <w:tcW w:type="dxa" w:w="26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Actor</w:t>
            </w:r>
          </w:p>
        </w:tc>
        <w:tc>
          <w:tcPr>
            <w:tcW w:type="dxa" w:w="748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Descripción</w:t>
            </w:r>
          </w:p>
        </w:tc>
      </w:tr>
      <w:tr>
        <w:tc>
          <w:tcPr>
            <w:tcW w:type="dxa" w:w="26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Emprendedor</w:t>
            </w:r>
          </w:p>
        </w:tc>
        <w:tc>
          <w:tcPr>
            <w:tcW w:type="dxa" w:w="74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Ciudadano que se auto-inscribe. Perfil propio persistente; participa en los módulos. No es funcionario.</w:t>
            </w:r>
          </w:p>
        </w:tc>
      </w:tr>
      <w:tr>
        <w:tc>
          <w:tcPr>
            <w:tcW w:type="dxa" w:w="26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Administrador</w:t>
            </w:r>
          </w:p>
        </w:tc>
        <w:tc>
          <w:tcPr>
            <w:tcW w:type="dxa" w:w="74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Crea, configura y gestiona en los módulos que tenga asignados. Además accede a la administración del sistema (usuarios, plantillas, configuración del municipio).</w:t>
            </w:r>
          </w:p>
        </w:tc>
      </w:tr>
      <w:tr>
        <w:tc>
          <w:tcPr>
            <w:tcW w:type="dxa" w:w="26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Evaluador</w:t>
            </w:r>
          </w:p>
        </w:tc>
        <w:tc>
          <w:tcPr>
            <w:tcW w:type="dxa" w:w="74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Sólo evalúa lo que se le asigna, en los módulos y eventos asignados. Alcance acotado por evento.</w:t>
            </w:r>
          </w:p>
        </w:tc>
      </w:tr>
      <w:tr>
        <w:tc>
          <w:tcPr>
            <w:tcW w:type="dxa" w:w="26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Jefatura</w:t>
            </w:r>
          </w:p>
        </w:tc>
        <w:tc>
          <w:tcPr>
            <w:tcW w:type="dxa" w:w="74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Sólo lectura, sólo dashboards. No opera. Vía de entrada de DIDECO/alcaldía al sistema.</w:t>
            </w:r>
          </w:p>
        </w:tc>
      </w:tr>
    </w:tbl>
    <w:p>
      <w:pPr>
        <w:spacing w:after="60"/>
      </w:pPr>
      <w:r>
        <w:rPr>
          <w:rFonts w:ascii="Calibri" w:cs="Calibri" w:eastAsia="Calibri" w:hAnsi="Calibri"/>
          <w:color w:val="1B2430"/>
          <w:sz w:val="21"/>
          <w:szCs w:val="21"/>
        </w:rPr>
        <w:t xml:space="preserve"/>
      </w:r>
    </w:p>
    <w:p>
      <w:pPr>
        <w:spacing w:after="120" w:before="0" w:line="276"/>
      </w:pPr>
      <w:r>
        <w:rPr>
          <w:rFonts w:ascii="Calibri" w:cs="Calibri" w:eastAsia="Calibri" w:hAnsi="Calibri"/>
          <w:color w:val="1B2430"/>
          <w:sz w:val="21"/>
          <w:szCs w:val="21"/>
        </w:rPr>
        <w:t xml:space="preserve">Un funcionario tiene un rol y un subconjunto de módulos asignados (p. ej. un “Encargado de Fondos” con rol administrador pero sólo en el módulo Fondos). El administrador </w:t>
      </w:r>
      <w:r>
        <w:rPr>
          <w:rFonts w:ascii="Calibri" w:cs="Calibri" w:eastAsia="Calibri" w:hAnsi="Calibri"/>
          <w:b/>
          <w:bCs/>
          <w:i/>
          <w:iCs/>
          <w:color w:val="1B2430"/>
          <w:sz w:val="21"/>
          <w:szCs w:val="21"/>
        </w:rPr>
        <w:t xml:space="preserve">no</w:t>
      </w:r>
      <w:r>
        <w:rPr>
          <w:rFonts w:ascii="Calibri" w:cs="Calibri" w:eastAsia="Calibri" w:hAnsi="Calibri"/>
          <w:color w:val="1B2430"/>
          <w:sz w:val="21"/>
          <w:szCs w:val="21"/>
        </w:rPr>
        <w:t xml:space="preserve"> es superusuario transversal: sólo accede a los módulos que tiene asignados.</w:t>
      </w:r>
    </w:p>
    <w:p>
      <w:pPr>
        <w:pStyle w:val="Heading1"/>
        <w:spacing w:after="140" w:before="360"/>
      </w:pPr>
      <w:r>
        <w:rPr>
          <w:rFonts w:ascii="Cambria" w:cs="Cambria" w:eastAsia="Cambria" w:hAnsi="Cambria"/>
          <w:b/>
          <w:bCs/>
          <w:color w:val="3B37B0"/>
          <w:sz w:val="30"/>
          <w:szCs w:val="30"/>
        </w:rPr>
        <w:t xml:space="preserve">3   Requisitos funcionales</w:t>
      </w:r>
    </w:p>
    <w:p>
      <w:pPr>
        <w:spacing w:after="120" w:before="0" w:line="276"/>
      </w:pPr>
      <w:r>
        <w:rPr>
          <w:rFonts w:ascii="Calibri" w:cs="Calibri" w:eastAsia="Calibri" w:hAnsi="Calibri"/>
          <w:b/>
          <w:bCs/>
          <w:color w:val="1B2430"/>
          <w:sz w:val="21"/>
          <w:szCs w:val="21"/>
        </w:rPr>
        <w:t xml:space="preserve">Prioridad (MoSCoW): </w:t>
      </w:r>
      <w:r>
        <w:rPr>
          <w:rFonts w:ascii="Calibri" w:cs="Calibri" w:eastAsia="Calibri" w:hAnsi="Calibri"/>
          <w:b/>
          <w:bCs/>
          <w:color w:val="3B37B0"/>
          <w:sz w:val="21"/>
          <w:szCs w:val="21"/>
        </w:rPr>
        <w:t xml:space="preserve">Debe</w:t>
      </w:r>
      <w:r>
        <w:rPr>
          <w:rFonts w:ascii="Calibri" w:cs="Calibri" w:eastAsia="Calibri" w:hAnsi="Calibri"/>
          <w:color w:val="1B2430"/>
          <w:sz w:val="21"/>
          <w:szCs w:val="21"/>
        </w:rPr>
        <w:t xml:space="preserve"> = obligatorio para el MVP · </w:t>
      </w:r>
      <w:r>
        <w:rPr>
          <w:rFonts w:ascii="Calibri" w:cs="Calibri" w:eastAsia="Calibri" w:hAnsi="Calibri"/>
          <w:b/>
          <w:bCs/>
          <w:color w:val="8A5A00"/>
          <w:sz w:val="21"/>
          <w:szCs w:val="21"/>
        </w:rPr>
        <w:t xml:space="preserve">Debería</w:t>
      </w:r>
      <w:r>
        <w:rPr>
          <w:rFonts w:ascii="Calibri" w:cs="Calibri" w:eastAsia="Calibri" w:hAnsi="Calibri"/>
          <w:color w:val="1B2430"/>
          <w:sz w:val="21"/>
          <w:szCs w:val="21"/>
        </w:rPr>
        <w:t xml:space="preserve"> = de alto valor, no bloqueante · </w:t>
      </w:r>
      <w:r>
        <w:rPr>
          <w:rFonts w:ascii="Calibri" w:cs="Calibri" w:eastAsia="Calibri" w:hAnsi="Calibri"/>
          <w:b/>
          <w:bCs/>
          <w:color w:val="6B7280"/>
          <w:sz w:val="21"/>
          <w:szCs w:val="21"/>
        </w:rPr>
        <w:t xml:space="preserve">Podría</w:t>
      </w:r>
      <w:r>
        <w:rPr>
          <w:rFonts w:ascii="Calibri" w:cs="Calibri" w:eastAsia="Calibri" w:hAnsi="Calibri"/>
          <w:color w:val="1B2430"/>
          <w:sz w:val="21"/>
          <w:szCs w:val="21"/>
        </w:rPr>
        <w:t xml:space="preserve"> = deseable / futuro.</w:t>
      </w:r>
    </w:p>
    <w:p>
      <w:pPr>
        <w:pStyle w:val="Heading2"/>
        <w:spacing w:after="100" w:before="240"/>
      </w:pPr>
      <w:r>
        <w:rPr>
          <w:rFonts w:ascii="Cambria" w:cs="Cambria" w:eastAsia="Cambria" w:hAnsi="Cambria"/>
          <w:b/>
          <w:bCs/>
          <w:color w:val="1B2430"/>
          <w:sz w:val="24"/>
          <w:szCs w:val="24"/>
        </w:rPr>
        <w:t xml:space="preserve">3.1  Autenticación e identidad</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RF-AUT-01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Autenticación con ClaveÚnica como método principal (entrega RUT verificado, llave única anti-duplicados), con fallback de correo y contraseña para entornos sin ClaveÚnica. La estrategia de autenticación es intercambiable.</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RF-AUT-02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Auto-registro abierto de emprendedores de la comuna, pidiendo datos base + consentimiento Ley 21.719 obligatorio (checkbox activo, no pre-marcado) con aviso de privacidad inline.</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RF-AUT-03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Los funcionarios no tienen auto-registro: los da de alta el administrador mediante invitación por correo con activación de cuenta.</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RF-AUT-04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Sesión con cierre de sesión siempre accesible; una suspensión de acceso surte efecto de inmediato.</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RF-AUT-05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Enlace de acceso para funcionarios discreto pero presente al pie del login público del emprendedor.</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8A5A00"/>
                <w:sz w:val="18"/>
                <w:szCs w:val="18"/>
              </w:rPr>
              <w:t xml:space="preserve">Debería</w:t>
            </w:r>
          </w:p>
        </w:tc>
      </w:tr>
    </w:tbl>
    <w:p>
      <w:pPr>
        <w:pStyle w:val="Heading2"/>
        <w:spacing w:after="100" w:before="240"/>
      </w:pPr>
      <w:r>
        <w:rPr>
          <w:rFonts w:ascii="Cambria" w:cs="Cambria" w:eastAsia="Cambria" w:hAnsi="Cambria"/>
          <w:b/>
          <w:bCs/>
          <w:color w:val="1B2430"/>
          <w:sz w:val="24"/>
          <w:szCs w:val="24"/>
        </w:rPr>
        <w:t xml:space="preserve">3.2  Control de acceso y gobernanza</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RF-ACC-01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Control de acceso por rol × módulo, validado en el backend en cada endpoint. Nunca se confía el control de acceso sólo al frontend.</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RF-ACC-02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Gestión de usuarios (lista de funcionarios; invitar; asignar rol y módulos; suspender/reactivar), disponible sólo para el administrador, en “Administración del sistema”.</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RF-ACC-03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Toda asignación o cambio de rol/acceso queda con trazabilidad (quién, cuándo, qué).</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RF-ACC-04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Acciones sensibles (suspender, rechazar, eliminar) requieren confirmación explícita.</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bl>
    <w:p>
      <w:pPr>
        <w:pStyle w:val="Heading2"/>
        <w:spacing w:after="100" w:before="240"/>
      </w:pPr>
      <w:r>
        <w:rPr>
          <w:rFonts w:ascii="Cambria" w:cs="Cambria" w:eastAsia="Cambria" w:hAnsi="Cambria"/>
          <w:b/>
          <w:bCs/>
          <w:color w:val="1B2430"/>
          <w:sz w:val="24"/>
          <w:szCs w:val="24"/>
        </w:rPr>
        <w:t xml:space="preserve">3.3  Navegación y experiencia base</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RF-NAV-01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Hub de módulos (tarjetas-territorio) como punto de entrada; se muestran los módulos activos del municipio y los habilitados para el usuario.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RF-NAV-02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Sidebar contextual: en el hub muestra los módulos; dentro de un módulo se transforma en las secciones de ese módulo, con “Volver al inicio” siempre disponible.</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RF-NAV-03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Navegación espejo: mismo módulo, cara distinta según quién entra (participar vs. gestionar).</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RF-NAV-04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Topbar con título/breadcrumb contextual, campana de notificaciones (con indicador de no leídas) y menú de usuario con cierre de sesión.</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RF-NAV-05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El emprendedor abre en una home orientada a la acción del momento (feria abierta, reporte pendiente), no en el perfil.</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8A5A00"/>
                <w:sz w:val="18"/>
                <w:szCs w:val="18"/>
              </w:rPr>
              <w:t xml:space="preserve">Debería</w:t>
            </w:r>
          </w:p>
        </w:tc>
      </w:tr>
    </w:tbl>
    <w:p>
      <w:pPr>
        <w:pStyle w:val="Heading2"/>
        <w:spacing w:after="100" w:before="240"/>
      </w:pPr>
      <w:r>
        <w:rPr>
          <w:rFonts w:ascii="Cambria" w:cs="Cambria" w:eastAsia="Cambria" w:hAnsi="Cambria"/>
          <w:b/>
          <w:bCs/>
          <w:color w:val="1B2430"/>
          <w:sz w:val="24"/>
          <w:szCs w:val="24"/>
        </w:rPr>
        <w:t xml:space="preserve">3.4  Portal del emprendedor</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RF-EMP-01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Perfil persistente único que atraviesa todos los módulos: quien postula a una feria es el mismo que se inscribe a un curso o postula a un fondo. Una sola identidad, una sola base.</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RF-EMP-02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Barra de completitud de perfil que indica qué falta y el siguiente paso más útil, incentivando la auto-mantención del dato.</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RF-EMP-03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Onboarding del emprendedor nuevo: bienvenida + primeros pasos guiados; su estado dice “emprendedor nuevo · sin historial aún”, nunca un cero frío.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RF-EMP-04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Autocompletado desde el perfil en toda postulación/inscripción: postular por segunda vez toma un minuto.</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RF-EMP-05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Derechos ARCO operativos desde el portal: acceder, rectificar, exportar y solicitar eliminación, con la fecha y versión de consentimiento visibles.</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RF-EMP-06</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Estados vacíos que guían a la acción; nunca una tabla vacía muda.</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bl>
    <w:p>
      <w:pPr>
        <w:pStyle w:val="Heading2"/>
        <w:spacing w:after="100" w:before="240"/>
      </w:pPr>
      <w:r>
        <w:rPr>
          <w:rFonts w:ascii="Cambria" w:cs="Cambria" w:eastAsia="Cambria" w:hAnsi="Cambria"/>
          <w:b/>
          <w:bCs/>
          <w:color w:val="1B2430"/>
          <w:sz w:val="24"/>
          <w:szCs w:val="24"/>
        </w:rPr>
        <w:t xml:space="preserve">3.5  Módulo Ferias</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Crear y configurar feria: objetivo, fecha, ubicación, cupos, rubros admitidos, perilla de ponderación (peso propuesta vs. reputación) y preguntas configurables.</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Formulario de postulación híbrido: bloque núcleo fijo (autocompletado desde el perfil) + 3–6 preguntas configurables de tipos acotados (texto, selección, número, sí/no, adjunto), cada una marcable como puntuable con peso. No es un form builder libre.</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Doble score: score de desempeño (reputación acumulada, persistente en el perfil) y score de postulación (fit de la propuesta con la feria, efímero por evento).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Selección por ranking combinado (propuesta × peso + reputación × peso), recalculable en vivo al mover la perilla, con desglose visible de cada componente para que la admisión sea defendible. Admitir / rechazar / lista de espera; rechazar pide confirmación.</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La combinación resuelve el caso del novato (reputación 0 puede entrar vía propuesta; el sistema no es un club cerrado) y el del free-rider (buena reputación + mala propuesta no entra automático).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RF-FER-06</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Registro permanente de emprendedores con búsqueda y filtro por rubro; escala a cientos de registros.</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RF-FER-07</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Evaluación en terreno (móvil), en 3 capas: Capa 1 cumplimiento (checklist binario, guardado al instante de cada marca, sin acumular hasta un botón final); Capa 2 comercial (autoreportada por el emprendedor); Capa 3 calidad (estrellas, opcional). Barra de progreso “N de M evaluados”. Evaluadores asignados por feria específica.</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RF-FER-08</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Las ventas autoreportadas se usan sólo como señal de participación y dato narrativo; nunca como cifra dura en el ranking.</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RF-FER-09</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El cierre de la feria consolida la reputación de los emprendedores evaluados en su score de desempeño.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RF-FER-10</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Dashboards: operativo (encargado, accionable), territorial (jefatura, agregado) y narrativo (alcalde, números grandes, exportable), poblados con data real.</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RF-FER-11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Autoreporte post-feria por el emprendedor (participación, ventas referenciales, comentario).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bl>
    <w:p>
      <w:pPr>
        <w:pStyle w:val="Heading2"/>
        <w:spacing w:after="100" w:before="240"/>
      </w:pPr>
      <w:r>
        <w:rPr>
          <w:rFonts w:ascii="Cambria" w:cs="Cambria" w:eastAsia="Cambria" w:hAnsi="Cambria"/>
          <w:b/>
          <w:bCs/>
          <w:color w:val="1B2430"/>
          <w:sz w:val="24"/>
          <w:szCs w:val="24"/>
        </w:rPr>
        <w:t xml:space="preserve">3.6  Módulo Capacitación</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RF-CAP-01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Gestión de cursos: modalidad (presencial/online), cupos, fechas, sesiones y rubro objetivo.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RF-CAP-02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Inscripción con un clic (autocompletada desde el perfil); si no hay cupo, lista de espera.</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RF-CAP-03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Toma de asistencia por sesión desde el celular, con guardado instantáneo por marca.</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RF-CAP-04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Certificados emitidos a quienes asistieron, descargables por el emprendedor.</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RF-CAP-05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Dashboard de formación: cursos dictados, emprendedores formados, certificados emitidos, tasa de asistencia y cursos más demandados.</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bl>
    <w:p>
      <w:pPr>
        <w:pStyle w:val="Heading2"/>
        <w:spacing w:after="100" w:before="240"/>
      </w:pPr>
      <w:r>
        <w:rPr>
          <w:rFonts w:ascii="Cambria" w:cs="Cambria" w:eastAsia="Cambria" w:hAnsi="Cambria"/>
          <w:b/>
          <w:bCs/>
          <w:color w:val="1B2430"/>
          <w:sz w:val="24"/>
          <w:szCs w:val="24"/>
        </w:rPr>
        <w:t xml:space="preserve">3.7  Módulo Fondos</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Dos puertas de descubrimiento que convergen en la ficha: (a) asistente conversacional con IA (“cuéntame qué necesitas”) y (b) lista personalizada por match de perfil (“ver fondos para mí”).</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El asistente opera detrás de un proveedor de match intercambiable: motor por intención (mock) en desarrollo y agente RAG de MunIA core en producción, con la misma interfaz.</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No mostrar fondos para los que el emprendedor no califica; la lista personalizada muestra el nivel de compatibilidad (alta/media).</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Ficha de fondo con compatibilidad, monto, plazo, organismo, requisitos checkeados contra el perfil (“cumples N de M”) y preguntas frecuentes.</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Gestión de convocatorias: crear/editar convocatoria y definir los criterios de match (rubros elegibles, etapa, requisitos) que alimentan al asistente.</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RF-FON-06</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Evaluación de postulaciones con la reputación cruzada del emprendedor: su historial en ferias y capacitación es contexto para adjudicar.</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RF-FON-07</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Adjudicación de fondos con notificación al emprendedor y dashboard de fondos (entregados, apoyados, postulaciones, distribución por rubro).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RF-FON-08</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Catálogo curado de convocatorias vigentes, municipales y externas (CORFO, SERCOTEC, SERNAMEG…), administrable; sincronización con fuentes externas queda para fases posteriores.</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8A5A00"/>
                <w:sz w:val="18"/>
                <w:szCs w:val="18"/>
              </w:rPr>
              <w:t xml:space="preserve">Debería</w:t>
            </w:r>
          </w:p>
        </w:tc>
      </w:tr>
    </w:tbl>
    <w:p>
      <w:pPr>
        <w:pStyle w:val="Heading2"/>
        <w:spacing w:after="100" w:before="240"/>
      </w:pPr>
      <w:r>
        <w:rPr>
          <w:rFonts w:ascii="Cambria" w:cs="Cambria" w:eastAsia="Cambria" w:hAnsi="Cambria"/>
          <w:b/>
          <w:bCs/>
          <w:color w:val="1B2430"/>
          <w:sz w:val="24"/>
          <w:szCs w:val="24"/>
        </w:rPr>
        <w:t xml:space="preserve">3.8  Notificaciones</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RF-NOT-01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Capa de notificaciones basada en eventos, desacoplada; no hay email cableado dentro de cada función de negocio. Un fallo de envío no interrumpe la acción que lo originó.</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RF-NOT-02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Eventos mínimos: postulación recibida, admitido, rechazado, lista de espera, recordatorio 48 h, solicitud de autoreporte, inscripción a curso confirmada, convocatoria abierta, fondo adjudicado, funcionario invitado.</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RF-NOT-03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Canal del MVP: email transaccional. La arquitectura permite enchufar WhatsApp al mismo evento sin reescribir lógica.</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RF-NOT-04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Plantillas editables por el administrador, con variables ({nombre}, {feria}, {fecha}…); nunca hardcodeadas.</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RF-NOT-05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Centro de notificaciones in-app (campana) con estado leído/no leído, contextual al rol del usuario.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bl>
    <w:p>
      <w:pPr>
        <w:pStyle w:val="Heading2"/>
        <w:spacing w:after="100" w:before="240"/>
      </w:pPr>
      <w:r>
        <w:rPr>
          <w:rFonts w:ascii="Cambria" w:cs="Cambria" w:eastAsia="Cambria" w:hAnsi="Cambria"/>
          <w:b/>
          <w:bCs/>
          <w:color w:val="1B2430"/>
          <w:sz w:val="24"/>
          <w:szCs w:val="24"/>
        </w:rPr>
        <w:t xml:space="preserve">3.9  Configuración del municipio (tenant)</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RF-TEN-01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La configuración del municipio (nombre, logo, color de acento, dominio de correo institucional, módulos activos, versión del aviso de privacidad) vive en datos, no en el código.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RF-TEN-02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Panel de administración del municipio para editar dicha configuración sin tocar código; el acento y el nombre se reflejan en toda la plataforma.</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RF-TEN-03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Catálogo de rubros administrable: alias de cara al usuario sobre un código maestro estándar para comparabilidad inter-comunal. No se expone taxonomía CIIU/SII al usuario.</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bl>
    <w:p>
      <w:pPr>
        <w:pStyle w:val="Heading2"/>
        <w:spacing w:after="100" w:before="240"/>
      </w:pPr>
      <w:r>
        <w:rPr>
          <w:rFonts w:ascii="Cambria" w:cs="Cambria" w:eastAsia="Cambria" w:hAnsi="Cambria"/>
          <w:b/>
          <w:bCs/>
          <w:color w:val="1B2430"/>
          <w:sz w:val="24"/>
          <w:szCs w:val="24"/>
        </w:rPr>
        <w:t xml:space="preserve">3.10  Archivos y adjuntos</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RF-ARC-01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Carga de adjuntos (p. ej. fotos de producto en postulaciones), con almacenamiento S3-compatible (local en desarrollo), tipos y tamaño acotados. Los binarios no se guardan en la base de datos.</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8A5A00"/>
                <w:sz w:val="18"/>
                <w:szCs w:val="18"/>
              </w:rPr>
              <w:t xml:space="preserve">Debería</w:t>
            </w:r>
          </w:p>
        </w:tc>
      </w:tr>
    </w:tbl>
    <w:p>
      <w:pPr>
        <w:pStyle w:val="Heading1"/>
        <w:spacing w:after="140" w:before="360"/>
      </w:pPr>
      <w:r>
        <w:rPr>
          <w:rFonts w:ascii="Cambria" w:cs="Cambria" w:eastAsia="Cambria" w:hAnsi="Cambria"/>
          <w:b/>
          <w:bCs/>
          <w:color w:val="3B37B0"/>
          <w:sz w:val="30"/>
          <w:szCs w:val="30"/>
        </w:rPr>
        <w:t xml:space="preserve">4   Requisitos no funcionales</w:t>
      </w:r>
    </w:p>
    <w:tbl>
      <w:tblPr>
        <w:tblW w:type="dxa" w:w="10080"/>
        <w:tblBorders>
          <w:top w:val="none"/>
          <w:left w:val="none"/>
          <w:bottom w:val="none"/>
          <w:right w:val="none"/>
          <w:insideH w:val="single" w:color="auto" w:sz="4"/>
          <w:insideV w:val="single" w:color="auto" w:sz="4"/>
        </w:tblBorders>
      </w:tblPr>
      <w:tblGrid>
        <w:gridCol w:w="1350"/>
        <w:gridCol w:w="7230"/>
        <w:gridCol w:w="1500"/>
      </w:tblGrid>
      <w:tr>
        <w:trPr>
          <w:tblHeader/>
        </w:trPr>
        <w:tc>
          <w:tcPr>
            <w:tcW w:type="dxa" w:w="135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ID</w:t>
            </w:r>
          </w:p>
        </w:tc>
        <w:tc>
          <w:tcPr>
            <w:tcW w:type="dxa" w:w="723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Requisito</w:t>
            </w:r>
          </w:p>
        </w:tc>
        <w:tc>
          <w:tcPr>
            <w:tcW w:type="dxa" w:w="15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jc w:val="right"/>
            </w:pPr>
            <w:r>
              <w:rPr>
                <w:rFonts w:ascii="Consolas" w:cs="Consolas" w:eastAsia="Consolas" w:hAnsi="Consolas"/>
                <w:b/>
                <w:bCs/>
                <w:caps/>
                <w:color w:val="3B37B0"/>
                <w:sz w:val="16"/>
                <w:szCs w:val="16"/>
              </w:rPr>
              <w:t xml:space="preserve">Prioridad</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Multi-tenant desde el diseño: toda entidad de negocio cuelga de un identificador de municipio; la configuración por municipio vive en una tabla de configuración. Permite desplegar para múltiples comunas sin refactorizar.</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RNF-02</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Seguridad: hashing de contraseñas, validación de entradas en el servidor, control de acceso por rol × módulo en cada endpoint, protección contra inyección. Nunca se colocan datos personales en URLs o query strings.</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RNF-03</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Cumplimiento de la Ley 21.719 (protección de datos, Chile) por diseño: consentimiento explícito al registrarse, derechos ARCO operativos y minimización de datos. Es parte del producto, no un add-on.</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RNF-04</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Trazabilidad / auditoría: toda acción sensible (evaluación, admisión, rechazo, cambio de rol/acceso, adjudicación) queda firmada con usuario, timestamp y municipio.</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RNF-05</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Usabilidad para funcionarios apurados y emprendedores con baja alfabetización digital; el sistema degrada con gracia (útil aun con flujos mínimos completos).</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RNF-06</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Responsive y accesible: mobile-first en flujos de terreno y en el portal del emprendedor; contraste adecuado, objetivos táctiles generosos (uso a una mano, bajo sol), foco de teclado visible y respeto a reduce-motion.</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RNF-07</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Rendimiento y escala: listados que escalan a cientos de registros por comuna, con búsqueda y filtros.</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RNF-08</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Desacople y mantenibilidad: adaptadores intercambiables por configuración; no se acopla al BPMN/RAG/ticketing de MunIA core; expone APIs REST propias.</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RNF-09</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Comparabilidad inter-comunal: datos maestros (rubros) con código estándar por debajo del alias local.</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RNF-10</w:t>
            </w:r>
          </w:p>
        </w:tc>
        <w:tc>
          <w:tcPr>
            <w:tcW w:type="dxa" w:w="723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Marca y textos por configuración (español, es-CL); el nombre del municipio nunca forma parte del wordmark del producto.</w:t>
            </w:r>
          </w:p>
        </w:tc>
        <w:tc>
          <w:tcPr>
            <w:tcW w:type="dxa" w:w="15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r>
        <w:tc>
          <w:tcPr>
            <w:tcW w:type="dxa" w:w="135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onsolas" w:cs="Consolas" w:eastAsia="Consolas" w:hAnsi="Consolas"/>
                <w:b/>
                <w:bCs/>
                <w:color w:val="1B2430"/>
                <w:sz w:val="17"/>
                <w:szCs w:val="17"/>
              </w:rPr>
              <w:t xml:space="preserve">RNF-11</w:t>
            </w:r>
          </w:p>
        </w:tc>
        <w:tc>
          <w:tcPr>
            <w:tcW w:type="dxa" w:w="723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Desplegable por municipio sin cambios de código (sólo configuración).</w:t>
            </w:r>
          </w:p>
        </w:tc>
        <w:tc>
          <w:tcPr>
            <w:tcW w:type="dxa" w:w="15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jc w:val="right"/>
            </w:pPr>
            <w:r>
              <w:rPr>
                <w:rFonts w:ascii="Calibri" w:cs="Calibri" w:eastAsia="Calibri" w:hAnsi="Calibri"/>
                <w:b/>
                <w:bCs/>
                <w:color w:val="3B37B0"/>
                <w:sz w:val="18"/>
                <w:szCs w:val="18"/>
              </w:rPr>
              <w:t xml:space="preserve">Debe</w:t>
            </w:r>
          </w:p>
        </w:tc>
      </w:tr>
    </w:tbl>
    <w:p>
      <w:pPr>
        <w:pStyle w:val="Heading1"/>
        <w:spacing w:after="140" w:before="360"/>
      </w:pPr>
      <w:r>
        <w:rPr>
          <w:rFonts w:ascii="Cambria" w:cs="Cambria" w:eastAsia="Cambria" w:hAnsi="Cambria"/>
          <w:b/>
          <w:bCs/>
          <w:color w:val="3B37B0"/>
          <w:sz w:val="30"/>
          <w:szCs w:val="30"/>
        </w:rPr>
        <w:t xml:space="preserve">5   Integraciones y adaptadores intercambiables</w:t>
      </w:r>
    </w:p>
    <w:p>
      <w:pPr>
        <w:spacing w:after="120" w:before="0" w:line="276"/>
      </w:pPr>
      <w:r>
        <w:rPr>
          <w:rFonts w:ascii="Calibri" w:cs="Calibri" w:eastAsia="Calibri" w:hAnsi="Calibri"/>
          <w:color w:val="1B2430"/>
          <w:sz w:val="21"/>
          <w:szCs w:val="21"/>
        </w:rPr>
        <w:t xml:space="preserve">Cada dependencia externa se abstrae tras una interfaz y se selecciona por variable de entorno, de modo que el desarrollo no se bloquea y la producción integra el servicio real sin tocar la lógica de negocio.</w:t>
      </w:r>
    </w:p>
    <w:p>
      <w:pPr>
        <w:spacing w:after="60"/>
      </w:pPr>
      <w:r>
        <w:rPr>
          <w:rFonts w:ascii="Calibri" w:cs="Calibri" w:eastAsia="Calibri" w:hAnsi="Calibri"/>
          <w:color w:val="1B2430"/>
          <w:sz w:val="21"/>
          <w:szCs w:val="21"/>
        </w:rPr>
        <w:t xml:space="preserve"/>
      </w:r>
    </w:p>
    <w:tbl>
      <w:tblPr>
        <w:tblW w:type="dxa" w:w="10080"/>
        <w:tblBorders>
          <w:top w:val="none"/>
          <w:left w:val="none"/>
          <w:bottom w:val="none"/>
          <w:right w:val="none"/>
          <w:insideH w:val="single" w:color="auto" w:sz="4"/>
          <w:insideV w:val="single" w:color="auto" w:sz="4"/>
        </w:tblBorders>
      </w:tblPr>
      <w:tblGrid>
        <w:gridCol w:w="2600"/>
        <w:gridCol w:w="3740"/>
        <w:gridCol w:w="3740"/>
      </w:tblGrid>
      <w:tr>
        <w:trPr>
          <w:tblHeader/>
        </w:trPr>
        <w:tc>
          <w:tcPr>
            <w:tcW w:type="dxa" w:w="260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Capa</w:t>
            </w:r>
          </w:p>
        </w:tc>
        <w:tc>
          <w:tcPr>
            <w:tcW w:type="dxa" w:w="374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Desarrollo</w:t>
            </w:r>
          </w:p>
        </w:tc>
        <w:tc>
          <w:tcPr>
            <w:tcW w:type="dxa" w:w="3740"/>
            <w:tcBorders>
              <w:top w:val="single" w:color="D9DCE3" w:sz="4"/>
              <w:left w:val="none"/>
              <w:bottom w:val="single" w:color="D9DCE3" w:sz="4"/>
              <w:right w:val="none"/>
            </w:tcBorders>
            <w:shd w:fill="EEEDFB" w:color="auto" w:val="clear"/>
            <w:tcMar>
              <w:top w:type="dxa" w:w="70"/>
              <w:left w:type="dxa" w:w="110"/>
              <w:bottom w:type="dxa" w:w="70"/>
              <w:right w:type="dxa" w:w="110"/>
            </w:tcMar>
            <w:vAlign w:val="center"/>
          </w:tcPr>
          <w:p>
            <w:pPr>
              <w:spacing w:after="0" w:line="264"/>
            </w:pPr>
            <w:r>
              <w:rPr>
                <w:rFonts w:ascii="Consolas" w:cs="Consolas" w:eastAsia="Consolas" w:hAnsi="Consolas"/>
                <w:b/>
                <w:bCs/>
                <w:caps/>
                <w:color w:val="3B37B0"/>
                <w:sz w:val="16"/>
                <w:szCs w:val="16"/>
              </w:rPr>
              <w:t xml:space="preserve">Producción</w:t>
            </w:r>
          </w:p>
        </w:tc>
      </w:tr>
      <w:tr>
        <w:tc>
          <w:tcPr>
            <w:tcW w:type="dxa" w:w="26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Autenticación</w:t>
            </w:r>
          </w:p>
        </w:tc>
        <w:tc>
          <w:tcPr>
            <w:tcW w:type="dxa" w:w="374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Contraseña (fallback, desarrollo)</w:t>
            </w:r>
          </w:p>
        </w:tc>
        <w:tc>
          <w:tcPr>
            <w:tcW w:type="dxa" w:w="374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ClaveÚnica (OIDC, producción)</w:t>
            </w:r>
          </w:p>
        </w:tc>
      </w:tr>
      <w:tr>
        <w:tc>
          <w:tcPr>
            <w:tcW w:type="dxa" w:w="26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Email</w:t>
            </w:r>
          </w:p>
        </w:tc>
        <w:tc>
          <w:tcPr>
            <w:tcW w:type="dxa" w:w="374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Consola (desarrollo)</w:t>
            </w:r>
          </w:p>
        </w:tc>
        <w:tc>
          <w:tcPr>
            <w:tcW w:type="dxa" w:w="374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Resend u otro proveedor transaccional</w:t>
            </w:r>
          </w:p>
        </w:tc>
      </w:tr>
      <w:tr>
        <w:tc>
          <w:tcPr>
            <w:tcW w:type="dxa" w:w="26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Almacenamiento</w:t>
            </w:r>
          </w:p>
        </w:tc>
        <w:tc>
          <w:tcPr>
            <w:tcW w:type="dxa" w:w="374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Disco local (desarrollo)</w:t>
            </w:r>
          </w:p>
        </w:tc>
        <w:tc>
          <w:tcPr>
            <w:tcW w:type="dxa" w:w="374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S3-compatible (AWS/MinIO/R2)</w:t>
            </w:r>
          </w:p>
        </w:tc>
      </w:tr>
      <w:tr>
        <w:tc>
          <w:tcPr>
            <w:tcW w:type="dxa" w:w="26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Asistente de Fondos</w:t>
            </w:r>
          </w:p>
        </w:tc>
        <w:tc>
          <w:tcPr>
            <w:tcW w:type="dxa" w:w="374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Motor por intención (mock)</w:t>
            </w:r>
          </w:p>
        </w:tc>
        <w:tc>
          <w:tcPr>
            <w:tcW w:type="dxa" w:w="374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Agente RAG de MunIA core</w:t>
            </w:r>
          </w:p>
        </w:tc>
      </w:tr>
    </w:tbl>
    <w:p>
      <w:pPr>
        <w:pStyle w:val="Heading1"/>
        <w:spacing w:after="140" w:before="360"/>
      </w:pPr>
      <w:r>
        <w:rPr>
          <w:rFonts w:ascii="Cambria" w:cs="Cambria" w:eastAsia="Cambria" w:hAnsi="Cambria"/>
          <w:b/>
          <w:bCs/>
          <w:color w:val="3B37B0"/>
          <w:sz w:val="30"/>
          <w:szCs w:val="30"/>
        </w:rPr>
        <w:t xml:space="preserve">6   Restricciones, supuestos y anti-patrones</w:t>
      </w:r>
    </w:p>
    <w:p>
      <w:pPr>
        <w:pStyle w:val="Heading2"/>
        <w:spacing w:after="100" w:before="240"/>
      </w:pPr>
      <w:r>
        <w:rPr>
          <w:rFonts w:ascii="Cambria" w:cs="Cambria" w:eastAsia="Cambria" w:hAnsi="Cambria"/>
          <w:b/>
          <w:bCs/>
          <w:color w:val="1B2430"/>
          <w:sz w:val="24"/>
          <w:szCs w:val="24"/>
        </w:rPr>
        <w:t xml:space="preserve">6.1  Supuestos</w:t>
      </w:r>
    </w:p>
    <w:p>
      <w:pPr>
        <w:pStyle w:val="ListParagraph"/>
        <w:numPr>
          <w:ilvl w:val="0"/>
          <w:numId w:val="2"/>
        </w:numPr>
        <w:spacing w:after="70" w:line="270"/>
      </w:pPr>
      <w:r>
        <w:rPr>
          <w:rFonts w:ascii="Calibri" w:cs="Calibri" w:eastAsia="Calibri" w:hAnsi="Calibri"/>
          <w:color w:val="1B2430"/>
          <w:sz w:val="21"/>
          <w:szCs w:val="21"/>
        </w:rPr>
        <w:t xml:space="preserve">Despliegue inicial mono-municipio, con arquitectura preparada para multi-municipio.</w:t>
      </w:r>
    </w:p>
    <w:p>
      <w:pPr>
        <w:pStyle w:val="ListParagraph"/>
        <w:numPr>
          <w:ilvl w:val="0"/>
          <w:numId w:val="2"/>
        </w:numPr>
        <w:spacing w:after="70" w:line="270"/>
      </w:pPr>
      <w:r>
        <w:rPr>
          <w:rFonts w:ascii="Calibri" w:cs="Calibri" w:eastAsia="Calibri" w:hAnsi="Calibri"/>
          <w:color w:val="1B2430"/>
          <w:sz w:val="21"/>
          <w:szCs w:val="21"/>
        </w:rPr>
        <w:t xml:space="preserve">ClaveÚnica es la vía de identidad preferida; su disponibilidad se confirma por municipio.</w:t>
      </w:r>
    </w:p>
    <w:p>
      <w:pPr>
        <w:pStyle w:val="ListParagraph"/>
        <w:numPr>
          <w:ilvl w:val="0"/>
          <w:numId w:val="2"/>
        </w:numPr>
        <w:spacing w:after="70" w:line="270"/>
      </w:pPr>
      <w:r>
        <w:rPr>
          <w:rFonts w:ascii="Calibri" w:cs="Calibri" w:eastAsia="Calibri" w:hAnsi="Calibri"/>
          <w:color w:val="1B2430"/>
          <w:sz w:val="21"/>
          <w:szCs w:val="21"/>
        </w:rPr>
        <w:t xml:space="preserve">El catálogo de convocatorias externas se mantiene por curaduría del administrador.</w:t>
      </w:r>
    </w:p>
    <w:p>
      <w:pPr>
        <w:pStyle w:val="Heading2"/>
        <w:spacing w:after="100" w:before="240"/>
      </w:pPr>
      <w:r>
        <w:rPr>
          <w:rFonts w:ascii="Cambria" w:cs="Cambria" w:eastAsia="Cambria" w:hAnsi="Cambria"/>
          <w:b/>
          <w:bCs/>
          <w:color w:val="1B2430"/>
          <w:sz w:val="24"/>
          <w:szCs w:val="24"/>
        </w:rPr>
        <w:t xml:space="preserve">6.2  Anti-patrones (no hacer)</w:t>
      </w:r>
    </w:p>
    <w:p>
      <w:pPr>
        <w:pStyle w:val="ListParagraph"/>
        <w:numPr>
          <w:ilvl w:val="0"/>
          <w:numId w:val="2"/>
        </w:numPr>
        <w:spacing w:after="70" w:line="270"/>
      </w:pPr>
      <w:r>
        <w:rPr>
          <w:rFonts w:ascii="Calibri" w:cs="Calibri" w:eastAsia="Calibri" w:hAnsi="Calibri"/>
          <w:color w:val="1B2430"/>
          <w:sz w:val="21"/>
          <w:szCs w:val="21"/>
        </w:rPr>
        <w:t xml:space="preserve">No hardcodear el nombre de ningún municipio en interfaz o datos: es configuración.</w:t>
      </w:r>
    </w:p>
    <w:p>
      <w:pPr>
        <w:pStyle w:val="ListParagraph"/>
        <w:numPr>
          <w:ilvl w:val="0"/>
          <w:numId w:val="2"/>
        </w:numPr>
        <w:spacing w:after="70" w:line="270"/>
      </w:pPr>
      <w:r>
        <w:rPr>
          <w:rFonts w:ascii="Calibri" w:cs="Calibri" w:eastAsia="Calibri" w:hAnsi="Calibri"/>
          <w:color w:val="1B2430"/>
          <w:sz w:val="21"/>
          <w:szCs w:val="21"/>
        </w:rPr>
        <w:t xml:space="preserve">No construir sobre planillas de cálculo ni scripts de oficina: es un sistema real.</w:t>
      </w:r>
    </w:p>
    <w:p>
      <w:pPr>
        <w:pStyle w:val="ListParagraph"/>
        <w:numPr>
          <w:ilvl w:val="0"/>
          <w:numId w:val="2"/>
        </w:numPr>
        <w:spacing w:after="70" w:line="270"/>
      </w:pPr>
      <w:r>
        <w:rPr>
          <w:rFonts w:ascii="Calibri" w:cs="Calibri" w:eastAsia="Calibri" w:hAnsi="Calibri"/>
          <w:color w:val="1B2430"/>
          <w:sz w:val="21"/>
          <w:szCs w:val="21"/>
        </w:rPr>
        <w:t xml:space="preserve">No auto-registro de funcionarios: los da de alta el administrador.</w:t>
      </w:r>
    </w:p>
    <w:p>
      <w:pPr>
        <w:pStyle w:val="ListParagraph"/>
        <w:numPr>
          <w:ilvl w:val="0"/>
          <w:numId w:val="2"/>
        </w:numPr>
        <w:spacing w:after="70" w:line="270"/>
      </w:pPr>
      <w:r>
        <w:rPr>
          <w:rFonts w:ascii="Calibri" w:cs="Calibri" w:eastAsia="Calibri" w:hAnsi="Calibri"/>
          <w:color w:val="1B2430"/>
          <w:sz w:val="21"/>
          <w:szCs w:val="21"/>
        </w:rPr>
        <w:t xml:space="preserve">No form builder libre: núcleo fijo + preguntas configurables de menú acotado.</w:t>
      </w:r>
    </w:p>
    <w:p>
      <w:pPr>
        <w:pStyle w:val="ListParagraph"/>
        <w:numPr>
          <w:ilvl w:val="0"/>
          <w:numId w:val="2"/>
        </w:numPr>
        <w:spacing w:after="70" w:line="270"/>
      </w:pPr>
      <w:r>
        <w:rPr>
          <w:rFonts w:ascii="Calibri" w:cs="Calibri" w:eastAsia="Calibri" w:hAnsi="Calibri"/>
          <w:color w:val="1B2430"/>
          <w:sz w:val="21"/>
          <w:szCs w:val="21"/>
        </w:rPr>
        <w:t xml:space="preserve">No un score único plano que mezcle admisión y desempeño: doble score por debajo, número único de cara al emprendedor.</w:t>
      </w:r>
    </w:p>
    <w:p>
      <w:pPr>
        <w:pStyle w:val="ListParagraph"/>
        <w:numPr>
          <w:ilvl w:val="0"/>
          <w:numId w:val="2"/>
        </w:numPr>
        <w:spacing w:after="70" w:line="270"/>
      </w:pPr>
      <w:r>
        <w:rPr>
          <w:rFonts w:ascii="Calibri" w:cs="Calibri" w:eastAsia="Calibri" w:hAnsi="Calibri"/>
          <w:color w:val="1B2430"/>
          <w:sz w:val="21"/>
          <w:szCs w:val="21"/>
        </w:rPr>
        <w:t xml:space="preserve">No convertir el sistema en un club cerrado: el novato debe poder entrar vía la perilla de propuesta.</w:t>
      </w:r>
    </w:p>
    <w:p>
      <w:pPr>
        <w:pStyle w:val="ListParagraph"/>
        <w:numPr>
          <w:ilvl w:val="0"/>
          <w:numId w:val="2"/>
        </w:numPr>
        <w:spacing w:after="70" w:line="270"/>
      </w:pPr>
      <w:r>
        <w:rPr>
          <w:rFonts w:ascii="Calibri" w:cs="Calibri" w:eastAsia="Calibri" w:hAnsi="Calibri"/>
          <w:color w:val="1B2430"/>
          <w:sz w:val="21"/>
          <w:szCs w:val="21"/>
        </w:rPr>
        <w:t xml:space="preserve">No WhatsApp ni chat bidireccional en el MVP: sólo email, con arquitectura lista para más.</w:t>
      </w:r>
    </w:p>
    <w:p>
      <w:pPr>
        <w:pStyle w:val="ListParagraph"/>
        <w:numPr>
          <w:ilvl w:val="0"/>
          <w:numId w:val="2"/>
        </w:numPr>
        <w:spacing w:after="70" w:line="270"/>
      </w:pPr>
      <w:r>
        <w:rPr>
          <w:rFonts w:ascii="Calibri" w:cs="Calibri" w:eastAsia="Calibri" w:hAnsi="Calibri"/>
          <w:color w:val="1B2430"/>
          <w:sz w:val="21"/>
          <w:szCs w:val="21"/>
        </w:rPr>
        <w:t xml:space="preserve">No ventas autoreportadas como cifra dura en el ranking: sólo señal de participación + dato narrativo.</w:t>
      </w:r>
    </w:p>
    <w:p>
      <w:pPr>
        <w:pStyle w:val="ListParagraph"/>
        <w:numPr>
          <w:ilvl w:val="0"/>
          <w:numId w:val="2"/>
        </w:numPr>
        <w:spacing w:after="70" w:line="270"/>
      </w:pPr>
      <w:r>
        <w:rPr>
          <w:rFonts w:ascii="Calibri" w:cs="Calibri" w:eastAsia="Calibri" w:hAnsi="Calibri"/>
          <w:color w:val="1B2430"/>
          <w:sz w:val="21"/>
          <w:szCs w:val="21"/>
        </w:rPr>
        <w:t xml:space="preserve">No poblar dashboards narrativos con métricas inventadas: se llenan con data real.</w:t>
      </w:r>
    </w:p>
    <w:p>
      <w:pPr>
        <w:pStyle w:val="ListParagraph"/>
        <w:numPr>
          <w:ilvl w:val="0"/>
          <w:numId w:val="2"/>
        </w:numPr>
        <w:spacing w:after="70" w:line="270"/>
      </w:pPr>
      <w:r>
        <w:rPr>
          <w:rFonts w:ascii="Calibri" w:cs="Calibri" w:eastAsia="Calibri" w:hAnsi="Calibri"/>
          <w:color w:val="1B2430"/>
          <w:sz w:val="21"/>
          <w:szCs w:val="21"/>
        </w:rPr>
        <w:t xml:space="preserve">No confiar el control de acceso sólo al frontend: rol × módulo validado en cada endpoint.</w:t>
      </w:r>
    </w:p>
    <w:p>
      <w:pPr>
        <w:pStyle w:val="ListParagraph"/>
        <w:numPr>
          <w:ilvl w:val="0"/>
          <w:numId w:val="2"/>
        </w:numPr>
        <w:spacing w:after="70" w:line="270"/>
      </w:pPr>
      <w:r>
        <w:rPr>
          <w:rFonts w:ascii="Calibri" w:cs="Calibri" w:eastAsia="Calibri" w:hAnsi="Calibri"/>
          <w:color w:val="1B2430"/>
          <w:sz w:val="21"/>
          <w:szCs w:val="21"/>
        </w:rPr>
        <w:t xml:space="preserve">No exponer taxonomía CIIU/SII al usuario: catálogo de rubros administrable con maestro estándar por debajo.</w:t>
      </w:r>
    </w:p>
    <w:p>
      <w:pPr>
        <w:pStyle w:val="Heading1"/>
        <w:spacing w:after="140" w:before="360"/>
      </w:pPr>
      <w:r>
        <w:rPr>
          <w:rFonts w:ascii="Cambria" w:cs="Cambria" w:eastAsia="Cambria" w:hAnsi="Cambria"/>
          <w:b/>
          <w:bCs/>
          <w:color w:val="3B37B0"/>
          <w:sz w:val="30"/>
          <w:szCs w:val="30"/>
        </w:rPr>
        <w:t xml:space="preserve">7   Modelo de datos (resumen)</w:t>
      </w:r>
    </w:p>
    <w:p>
      <w:pPr>
        <w:spacing w:after="120" w:before="0" w:line="276"/>
      </w:pPr>
      <w:r>
        <w:rPr>
          <w:rFonts w:ascii="Calibri" w:cs="Calibri" w:eastAsia="Calibri" w:hAnsi="Calibri"/>
          <w:color w:val="1B2430"/>
          <w:sz w:val="21"/>
          <w:szCs w:val="21"/>
        </w:rPr>
        <w:t xml:space="preserve">El modelo relacional multi-tenant cubre, entre otras, las siguientes entidades principales (todas asociadas a un municipio):</w:t>
      </w:r>
    </w:p>
    <w:p>
      <w:pPr>
        <w:pStyle w:val="ListParagraph"/>
        <w:numPr>
          <w:ilvl w:val="0"/>
          <w:numId w:val="2"/>
        </w:numPr>
        <w:spacing w:after="70" w:line="270"/>
      </w:pPr>
      <w:r>
        <w:rPr>
          <w:rFonts w:ascii="Calibri" w:cs="Calibri" w:eastAsia="Calibri" w:hAnsi="Calibri"/>
          <w:b/>
          <w:bCs/>
          <w:color w:val="1B2430"/>
          <w:sz w:val="21"/>
          <w:szCs w:val="21"/>
        </w:rPr>
        <w:t xml:space="preserve">Municipio (tenant), Rubro, Usuario </w:t>
      </w:r>
      <w:r>
        <w:rPr>
          <w:rFonts w:ascii="Calibri" w:cs="Calibri" w:eastAsia="Calibri" w:hAnsi="Calibri"/>
          <w:color w:val="1B2430"/>
          <w:sz w:val="21"/>
          <w:szCs w:val="21"/>
        </w:rPr>
        <w:t xml:space="preserve">(con perfiles de Emprendedor y Funcionario), y asignaciones de rol y módulos.</w:t>
      </w:r>
    </w:p>
    <w:p>
      <w:pPr>
        <w:pStyle w:val="ListParagraph"/>
        <w:numPr>
          <w:ilvl w:val="0"/>
          <w:numId w:val="2"/>
        </w:numPr>
        <w:spacing w:after="70" w:line="270"/>
      </w:pPr>
      <w:r>
        <w:rPr>
          <w:rFonts w:ascii="Calibri" w:cs="Calibri" w:eastAsia="Calibri" w:hAnsi="Calibri"/>
          <w:b/>
          <w:bCs/>
          <w:color w:val="1B2430"/>
          <w:sz w:val="21"/>
          <w:szCs w:val="21"/>
        </w:rPr>
        <w:t xml:space="preserve">Ferias: </w:t>
      </w:r>
      <w:r>
        <w:rPr>
          <w:rFonts w:ascii="Calibri" w:cs="Calibri" w:eastAsia="Calibri" w:hAnsi="Calibri"/>
          <w:color w:val="1B2430"/>
          <w:sz w:val="21"/>
          <w:szCs w:val="21"/>
        </w:rPr>
        <w:t xml:space="preserve">Feria, Preguntas configurables, Postulación, Respuestas, Evaluador asignado, Evaluación en terreno, Reporte del emprendedor, Bitácora de reputación.</w:t>
      </w:r>
    </w:p>
    <w:p>
      <w:pPr>
        <w:pStyle w:val="ListParagraph"/>
        <w:numPr>
          <w:ilvl w:val="0"/>
          <w:numId w:val="2"/>
        </w:numPr>
        <w:spacing w:after="70" w:line="270"/>
      </w:pPr>
      <w:r>
        <w:rPr>
          <w:rFonts w:ascii="Calibri" w:cs="Calibri" w:eastAsia="Calibri" w:hAnsi="Calibri"/>
          <w:b/>
          <w:bCs/>
          <w:color w:val="1B2430"/>
          <w:sz w:val="21"/>
          <w:szCs w:val="21"/>
        </w:rPr>
        <w:t xml:space="preserve">Capacitación: </w:t>
      </w:r>
      <w:r>
        <w:rPr>
          <w:rFonts w:ascii="Calibri" w:cs="Calibri" w:eastAsia="Calibri" w:hAnsi="Calibri"/>
          <w:color w:val="1B2430"/>
          <w:sz w:val="21"/>
          <w:szCs w:val="21"/>
        </w:rPr>
        <w:t xml:space="preserve">Curso, Sesión, Inscripción, Asistencia, Certificado.</w:t>
      </w:r>
    </w:p>
    <w:p>
      <w:pPr>
        <w:pStyle w:val="ListParagraph"/>
        <w:numPr>
          <w:ilvl w:val="0"/>
          <w:numId w:val="2"/>
        </w:numPr>
        <w:spacing w:after="70" w:line="270"/>
      </w:pPr>
      <w:r>
        <w:rPr>
          <w:rFonts w:ascii="Calibri" w:cs="Calibri" w:eastAsia="Calibri" w:hAnsi="Calibri"/>
          <w:b/>
          <w:bCs/>
          <w:color w:val="1B2430"/>
          <w:sz w:val="21"/>
          <w:szCs w:val="21"/>
        </w:rPr>
        <w:t xml:space="preserve">Fondos: </w:t>
      </w:r>
      <w:r>
        <w:rPr>
          <w:rFonts w:ascii="Calibri" w:cs="Calibri" w:eastAsia="Calibri" w:hAnsi="Calibri"/>
          <w:color w:val="1B2430"/>
          <w:sz w:val="21"/>
          <w:szCs w:val="21"/>
        </w:rPr>
        <w:t xml:space="preserve">Fondo/Convocatoria (con criterios de match, requisitos y FAQ) y Postulación a fondo.</w:t>
      </w:r>
    </w:p>
    <w:p>
      <w:pPr>
        <w:pStyle w:val="ListParagraph"/>
        <w:numPr>
          <w:ilvl w:val="0"/>
          <w:numId w:val="2"/>
        </w:numPr>
        <w:spacing w:after="70" w:line="270"/>
      </w:pPr>
      <w:r>
        <w:rPr>
          <w:rFonts w:ascii="Calibri" w:cs="Calibri" w:eastAsia="Calibri" w:hAnsi="Calibri"/>
          <w:b/>
          <w:bCs/>
          <w:color w:val="1B2430"/>
          <w:sz w:val="21"/>
          <w:szCs w:val="21"/>
        </w:rPr>
        <w:t xml:space="preserve">Transversales: </w:t>
      </w:r>
      <w:r>
        <w:rPr>
          <w:rFonts w:ascii="Calibri" w:cs="Calibri" w:eastAsia="Calibri" w:hAnsi="Calibri"/>
          <w:color w:val="1B2430"/>
          <w:sz w:val="21"/>
          <w:szCs w:val="21"/>
        </w:rPr>
        <w:t xml:space="preserve">Plantilla de notificación, Notificación, Registro de auditoría, Solicitud ARCO, Archivo (metadatos).</w:t>
      </w:r>
    </w:p>
    <w:p>
      <w:pPr>
        <w:pStyle w:val="Heading1"/>
        <w:spacing w:after="140" w:before="360"/>
      </w:pPr>
      <w:r>
        <w:rPr>
          <w:rFonts w:ascii="Cambria" w:cs="Cambria" w:eastAsia="Cambria" w:hAnsi="Cambria"/>
          <w:b/>
          <w:bCs/>
          <w:color w:val="3B37B0"/>
          <w:sz w:val="30"/>
          <w:szCs w:val="30"/>
        </w:rPr>
        <w:t xml:space="preserve">8   Criterios de aceptación (clave)</w:t>
      </w:r>
    </w:p>
    <w:p>
      <w:pPr>
        <w:pStyle w:val="ListParagraph"/>
        <w:numPr>
          <w:ilvl w:val="0"/>
          <w:numId w:val="2"/>
        </w:numPr>
        <w:spacing w:after="70" w:line="270"/>
      </w:pPr>
      <w:r>
        <w:rPr>
          <w:rFonts w:ascii="Calibri" w:cs="Calibri" w:eastAsia="Calibri" w:hAnsi="Calibri"/>
          <w:color w:val="1B2430"/>
          <w:sz w:val="21"/>
          <w:szCs w:val="21"/>
        </w:rPr>
        <w:t xml:space="preserve">Un emprendedor con reputación 0 puede ser admitido a una feria que pondere alto la propuesta, y la perilla recalcula el ranking en vivo mostrando el desglose propuesta/trayectoria.</w:t>
      </w:r>
    </w:p>
    <w:p>
      <w:pPr>
        <w:pStyle w:val="ListParagraph"/>
        <w:numPr>
          <w:ilvl w:val="0"/>
          <w:numId w:val="2"/>
        </w:numPr>
        <w:spacing w:after="70" w:line="270"/>
      </w:pPr>
      <w:r>
        <w:rPr>
          <w:rFonts w:ascii="Calibri" w:cs="Calibri" w:eastAsia="Calibri" w:hAnsi="Calibri"/>
          <w:color w:val="1B2430"/>
          <w:sz w:val="21"/>
          <w:szCs w:val="21"/>
        </w:rPr>
        <w:t xml:space="preserve">Un evaluador sólo accede a las ferias que le fueron asignadas; cualquier endpoint fuera de su rol × módulo responde “sin acceso”.</w:t>
      </w:r>
    </w:p>
    <w:p>
      <w:pPr>
        <w:pStyle w:val="ListParagraph"/>
        <w:numPr>
          <w:ilvl w:val="0"/>
          <w:numId w:val="2"/>
        </w:numPr>
        <w:spacing w:after="70" w:line="270"/>
      </w:pPr>
      <w:r>
        <w:rPr>
          <w:rFonts w:ascii="Calibri" w:cs="Calibri" w:eastAsia="Calibri" w:hAnsi="Calibri"/>
          <w:color w:val="1B2430"/>
          <w:sz w:val="21"/>
          <w:szCs w:val="21"/>
        </w:rPr>
        <w:t xml:space="preserve">Al registrarse, el consentimiento no viene pre-marcado y su versión y fecha quedan visibles en el portal; el emprendedor puede exportar y solicitar la eliminación de sus datos.</w:t>
      </w:r>
    </w:p>
    <w:p>
      <w:pPr>
        <w:pStyle w:val="ListParagraph"/>
        <w:numPr>
          <w:ilvl w:val="0"/>
          <w:numId w:val="2"/>
        </w:numPr>
        <w:spacing w:after="70" w:line="270"/>
      </w:pPr>
      <w:r>
        <w:rPr>
          <w:rFonts w:ascii="Calibri" w:cs="Calibri" w:eastAsia="Calibri" w:hAnsi="Calibri"/>
          <w:color w:val="1B2430"/>
          <w:sz w:val="21"/>
          <w:szCs w:val="21"/>
        </w:rPr>
        <w:t xml:space="preserve">Cada marca de la evaluación en terreno se guarda al instante (no se pierde si se cierra la app).</w:t>
      </w:r>
    </w:p>
    <w:p>
      <w:pPr>
        <w:pStyle w:val="ListParagraph"/>
        <w:numPr>
          <w:ilvl w:val="0"/>
          <w:numId w:val="2"/>
        </w:numPr>
        <w:spacing w:after="70" w:line="270"/>
      </w:pPr>
      <w:r>
        <w:rPr>
          <w:rFonts w:ascii="Calibri" w:cs="Calibri" w:eastAsia="Calibri" w:hAnsi="Calibri"/>
          <w:color w:val="1B2430"/>
          <w:sz w:val="21"/>
          <w:szCs w:val="21"/>
        </w:rPr>
        <w:t xml:space="preserve">El asistente de Fondos, ante una necesidad en lenguaje natural, sugiere un fondo compatible con el perfil y nunca uno para el que el emprendedor no califica.</w:t>
      </w:r>
    </w:p>
    <w:p>
      <w:pPr>
        <w:pStyle w:val="ListParagraph"/>
        <w:numPr>
          <w:ilvl w:val="0"/>
          <w:numId w:val="2"/>
        </w:numPr>
        <w:spacing w:after="70" w:line="270"/>
      </w:pPr>
      <w:r>
        <w:rPr>
          <w:rFonts w:ascii="Calibri" w:cs="Calibri" w:eastAsia="Calibri" w:hAnsi="Calibri"/>
          <w:color w:val="1B2430"/>
          <w:sz w:val="21"/>
          <w:szCs w:val="21"/>
        </w:rPr>
        <w:t xml:space="preserve">Cambiar el nombre y el color del municipio en Configuración se refleja en toda la plataforma sin desplegar código.</w:t>
      </w:r>
    </w:p>
    <w:p>
      <w:pPr>
        <w:pStyle w:val="ListParagraph"/>
        <w:numPr>
          <w:ilvl w:val="0"/>
          <w:numId w:val="2"/>
        </w:numPr>
        <w:spacing w:after="70" w:line="270"/>
      </w:pPr>
      <w:r>
        <w:rPr>
          <w:rFonts w:ascii="Calibri" w:cs="Calibri" w:eastAsia="Calibri" w:hAnsi="Calibri"/>
          <w:color w:val="1B2430"/>
          <w:sz w:val="21"/>
          <w:szCs w:val="21"/>
        </w:rPr>
        <w:t xml:space="preserve">Toda admisión, rechazo, adjudicación, invitación o suspensión queda registrada con usuario, fecha y municipio.</w:t>
      </w:r>
    </w:p>
    <w:p>
      <w:pPr>
        <w:pStyle w:val="Heading1"/>
        <w:spacing w:after="140" w:before="360"/>
      </w:pPr>
      <w:r>
        <w:rPr>
          <w:rFonts w:ascii="Cambria" w:cs="Cambria" w:eastAsia="Cambria" w:hAnsi="Cambria"/>
          <w:b/>
          <w:bCs/>
          <w:color w:val="3B37B0"/>
          <w:sz w:val="30"/>
          <w:szCs w:val="30"/>
        </w:rPr>
        <w:t xml:space="preserve">9   Glosario</w:t>
      </w:r>
    </w:p>
    <w:tbl>
      <w:tblPr>
        <w:tblW w:type="dxa" w:w="10080"/>
        <w:tblBorders>
          <w:top w:val="none"/>
          <w:left w:val="none"/>
          <w:bottom w:val="none"/>
          <w:right w:val="none"/>
          <w:insideH w:val="single" w:color="auto" w:sz="4"/>
          <w:insideV w:val="single" w:color="auto" w:sz="4"/>
        </w:tblBorders>
      </w:tblPr>
      <w:tblGrid>
        <w:gridCol w:w="3000"/>
        <w:gridCol w:w="7080"/>
      </w:tblGrid>
      <w:tr>
        <w:tc>
          <w:tcPr>
            <w:tcW w:type="dxa" w:w="30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Perilla de ponderación</w:t>
            </w:r>
          </w:p>
        </w:tc>
        <w:tc>
          <w:tcPr>
            <w:tcW w:type="dxa" w:w="70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Control por feria que fija el peso relativo entre propuesta y trayectoria en el score de admisión.</w:t>
            </w:r>
          </w:p>
        </w:tc>
      </w:tr>
      <w:tr>
        <w:tc>
          <w:tcPr>
            <w:tcW w:type="dxa" w:w="30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Doble score</w:t>
            </w:r>
          </w:p>
        </w:tc>
        <w:tc>
          <w:tcPr>
            <w:tcW w:type="dxa" w:w="70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Score de desempeño (reputación acumulada, persistente) + score de postulación (fit por feria, efímero).</w:t>
            </w:r>
          </w:p>
        </w:tc>
      </w:tr>
      <w:tr>
        <w:tc>
          <w:tcPr>
            <w:tcW w:type="dxa" w:w="30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Reputación cruzada</w:t>
            </w:r>
          </w:p>
        </w:tc>
        <w:tc>
          <w:tcPr>
            <w:tcW w:type="dxa" w:w="70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Uso del historial del emprendedor en otros módulos (ferias, capacitación) como contexto para adjudicar fondos.</w:t>
            </w:r>
          </w:p>
        </w:tc>
      </w:tr>
      <w:tr>
        <w:tc>
          <w:tcPr>
            <w:tcW w:type="dxa" w:w="30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Rubro maestro</w:t>
            </w:r>
          </w:p>
        </w:tc>
        <w:tc>
          <w:tcPr>
            <w:tcW w:type="dxa" w:w="70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Código estándar de rubro, compartido entre comunas, sobre el que cada municipio define su alias local.</w:t>
            </w:r>
          </w:p>
        </w:tc>
      </w:tr>
      <w:tr>
        <w:tc>
          <w:tcPr>
            <w:tcW w:type="dxa" w:w="30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ARCO</w:t>
            </w:r>
          </w:p>
        </w:tc>
        <w:tc>
          <w:tcPr>
            <w:tcW w:type="dxa" w:w="70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Derechos de Acceso, Rectificación, Cancelación (eliminación) y Oposición sobre datos personales (Ley 21.719).</w:t>
            </w:r>
          </w:p>
        </w:tc>
      </w:tr>
      <w:tr>
        <w:tc>
          <w:tcPr>
            <w:tcW w:type="dxa" w:w="300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Tenant</w:t>
            </w:r>
          </w:p>
        </w:tc>
        <w:tc>
          <w:tcPr>
            <w:tcW w:type="dxa" w:w="7080"/>
            <w:tcBorders>
              <w:top w:val="single" w:color="D9DCE3" w:sz="4"/>
              <w:left w:val="none"/>
              <w:bottom w:val="single" w:color="D9DCE3" w:sz="4"/>
              <w:right w:val="none"/>
            </w:tcBorders>
            <w:shd w:fill="F6F7F9" w:color="auto" w:val="clear"/>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Municipio como unidad de configuración y aislamiento de datos dentro de la plataforma.</w:t>
            </w:r>
          </w:p>
        </w:tc>
      </w:tr>
      <w:tr>
        <w:tc>
          <w:tcPr>
            <w:tcW w:type="dxa" w:w="300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b/>
                <w:bCs/>
                <w:color w:val="1B2430"/>
                <w:sz w:val="21"/>
                <w:szCs w:val="21"/>
              </w:rPr>
              <w:t xml:space="preserve">MoSCoW</w:t>
            </w:r>
          </w:p>
        </w:tc>
        <w:tc>
          <w:tcPr>
            <w:tcW w:type="dxa" w:w="7080"/>
            <w:tcBorders>
              <w:top w:val="single" w:color="D9DCE3" w:sz="4"/>
              <w:left w:val="none"/>
              <w:bottom w:val="single" w:color="D9DCE3" w:sz="4"/>
              <w:right w:val="none"/>
            </w:tcBorders>
            <w:tcMar>
              <w:top w:type="dxa" w:w="70"/>
              <w:left w:type="dxa" w:w="110"/>
              <w:bottom w:type="dxa" w:w="70"/>
              <w:right w:type="dxa" w:w="110"/>
            </w:tcMar>
            <w:vAlign w:val="center"/>
          </w:tcPr>
          <w:p>
            <w:pPr>
              <w:spacing w:after="0" w:line="264"/>
            </w:pPr>
            <w:r>
              <w:rPr>
                <w:rFonts w:ascii="Calibri" w:cs="Calibri" w:eastAsia="Calibri" w:hAnsi="Calibri"/>
                <w:color w:val="1B2430"/>
                <w:sz w:val="21"/>
                <w:szCs w:val="21"/>
              </w:rPr>
              <w:t xml:space="preserve">Priorización: Debe (must), Debería (should), Podría (could).</w:t>
            </w:r>
          </w:p>
        </w:tc>
      </w:tr>
    </w:tbl>
    <w:p>
      <w:pPr>
        <w:pStyle w:val="Heading1"/>
        <w:spacing w:after="140" w:before="360"/>
      </w:pPr>
      <w:r>
        <w:rPr>
          <w:rFonts w:ascii="Cambria" w:cs="Cambria" w:eastAsia="Cambria" w:hAnsi="Cambria"/>
          <w:b/>
          <w:bCs/>
          <w:color w:val="3B37B0"/>
          <w:sz w:val="30"/>
          <w:szCs w:val="30"/>
        </w:rPr>
        <w:t xml:space="preserve">10   Anexos</w:t>
      </w:r>
    </w:p>
    <w:p>
      <w:pPr>
        <w:pStyle w:val="Heading2"/>
        <w:spacing w:after="100" w:before="240"/>
      </w:pPr>
      <w:r>
        <w:rPr>
          <w:rFonts w:ascii="Cambria" w:cs="Cambria" w:eastAsia="Cambria" w:hAnsi="Cambria"/>
          <w:b/>
          <w:bCs/>
          <w:color w:val="1B2430"/>
          <w:sz w:val="24"/>
          <w:szCs w:val="24"/>
        </w:rPr>
        <w:t xml:space="preserve">10.1  Estado de implementación</w:t>
      </w:r>
    </w:p>
    <w:p>
      <w:pPr>
        <w:spacing w:after="120" w:before="0" w:line="276"/>
      </w:pPr>
      <w:r>
        <w:rPr>
          <w:rFonts w:ascii="Calibri" w:cs="Calibri" w:eastAsia="Calibri" w:hAnsi="Calibri"/>
          <w:color w:val="1B2430"/>
          <w:sz w:val="21"/>
          <w:szCs w:val="21"/>
        </w:rPr>
        <w:t xml:space="preserve">El MVP descrito está implementado y verificado end-to-end: backend (API + base de datos multi-tenant con datos semilla), frontend responsive de ambas caras, control de acceso por rol × módulo, notificaciones por evento, cumplimiento Ley 21.719 y panel de configuración del municipio.</w:t>
      </w:r>
    </w:p>
    <w:p>
      <w:pPr>
        <w:pStyle w:val="Heading2"/>
        <w:spacing w:after="100" w:before="240"/>
      </w:pPr>
      <w:r>
        <w:rPr>
          <w:rFonts w:ascii="Cambria" w:cs="Cambria" w:eastAsia="Cambria" w:hAnsi="Cambria"/>
          <w:b/>
          <w:bCs/>
          <w:color w:val="1B2430"/>
          <w:sz w:val="24"/>
          <w:szCs w:val="24"/>
        </w:rPr>
        <w:t xml:space="preserve">10.2  Referencias</w:t>
      </w:r>
    </w:p>
    <w:p>
      <w:pPr>
        <w:pStyle w:val="ListParagraph"/>
        <w:numPr>
          <w:ilvl w:val="0"/>
          <w:numId w:val="2"/>
        </w:numPr>
        <w:spacing w:after="70" w:line="270"/>
      </w:pPr>
      <w:r>
        <w:rPr>
          <w:rFonts w:ascii="Calibri" w:cs="Calibri" w:eastAsia="Calibri" w:hAnsi="Calibri"/>
          <w:color w:val="1B2430"/>
          <w:sz w:val="21"/>
          <w:szCs w:val="21"/>
        </w:rPr>
        <w:t xml:space="preserve">Demo interactiva (datos de ejemplo en el navegador): </w:t>
      </w:r>
      <w:r>
        <w:rPr>
          <w:rFonts w:ascii="Consolas" w:cs="Consolas" w:eastAsia="Consolas" w:hAnsi="Consolas"/>
          <w:color w:val="3B37B0"/>
          <w:sz w:val="19"/>
          <w:szCs w:val="19"/>
        </w:rPr>
        <w:t xml:space="preserve">akadem-edtech.github.io/munia-fomento/</w:t>
      </w:r>
    </w:p>
    <w:p>
      <w:pPr>
        <w:pStyle w:val="ListParagraph"/>
        <w:numPr>
          <w:ilvl w:val="0"/>
          <w:numId w:val="2"/>
        </w:numPr>
        <w:spacing w:after="70" w:line="270"/>
      </w:pPr>
      <w:r>
        <w:rPr>
          <w:rFonts w:ascii="Calibri" w:cs="Calibri" w:eastAsia="Calibri" w:hAnsi="Calibri"/>
          <w:color w:val="1B2430"/>
          <w:sz w:val="21"/>
          <w:szCs w:val="21"/>
        </w:rPr>
        <w:t xml:space="preserve">Prototipo navegable: </w:t>
      </w:r>
      <w:r>
        <w:rPr>
          <w:rFonts w:ascii="Consolas" w:cs="Consolas" w:eastAsia="Consolas" w:hAnsi="Consolas"/>
          <w:color w:val="3B37B0"/>
          <w:sz w:val="19"/>
          <w:szCs w:val="19"/>
        </w:rPr>
        <w:t xml:space="preserve">akadem-edtech.github.io/munia-fomento/proto/</w:t>
      </w:r>
    </w:p>
    <w:p>
      <w:pPr>
        <w:pStyle w:val="ListParagraph"/>
        <w:numPr>
          <w:ilvl w:val="0"/>
          <w:numId w:val="2"/>
        </w:numPr>
        <w:spacing w:after="70" w:line="270"/>
      </w:pPr>
      <w:r>
        <w:rPr>
          <w:rFonts w:ascii="Calibri" w:cs="Calibri" w:eastAsia="Calibri" w:hAnsi="Calibri"/>
          <w:color w:val="1B2430"/>
          <w:sz w:val="21"/>
          <w:szCs w:val="21"/>
        </w:rPr>
        <w:t xml:space="preserve">Código fuente: </w:t>
      </w:r>
      <w:r>
        <w:rPr>
          <w:rFonts w:ascii="Consolas" w:cs="Consolas" w:eastAsia="Consolas" w:hAnsi="Consolas"/>
          <w:color w:val="3B37B0"/>
          <w:sz w:val="19"/>
          <w:szCs w:val="19"/>
        </w:rPr>
        <w:t xml:space="preserve">github.com/Akadem-EdTech/munia-fomento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B37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3B37B0"/>
      <w:sz w:val="30"/>
      <w:szCs w:val="30"/>
    </w:rPr>
  </w:style>
  <w:style w:type="paragraph" w:styleId="Heading2">
    <w:name w:val="Heading 2"/>
    <w:basedOn w:val="Normal"/>
    <w:next w:val="Normal"/>
    <w:qFormat/>
    <w:rPr>
      <w:rFonts w:ascii="Cambria" w:cs="Cambria" w:eastAsia="Cambria" w:hAnsi="Cambria"/>
      <w:b/>
      <w:bCs/>
      <w:color w:val="1B24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MunIA Fomento</dc:title>
  <dc:creator>MunIA</dc:creator>
  <dc:description>Documento de requerimientos de la plataforma de gestión de fomento productivo municipal</dc:description>
  <cp:lastModifiedBy>Un-named</cp:lastModifiedBy>
  <cp:revision>1</cp:revision>
  <dcterms:created xsi:type="dcterms:W3CDTF">2026-09-01T20:27:07.144Z</dcterms:created>
  <dcterms:modified xsi:type="dcterms:W3CDTF">2026-09-01T20:27:07.145Z</dcterms:modified>
</cp:coreProperties>
</file>

<file path=docProps/custom.xml><?xml version="1.0" encoding="utf-8"?>
<Properties xmlns="http://schemas.openxmlformats.org/officeDocument/2006/custom-properties" xmlns:vt="http://schemas.openxmlformats.org/officeDocument/2006/docPropsVTypes"/>
</file>