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Consolas" w:cs="Consolas" w:eastAsia="Consolas" w:hAnsi="Consolas"/>
          <w:caps/>
          <w:color w:val="3B37B0"/>
          <w:sz w:val="20"/>
          <w:szCs w:val="20"/>
        </w:rPr>
        <w:t xml:space="preserve">MUNIA FOMENTO</w:t>
      </w:r>
    </w:p>
    <w:p>
      <w:pPr>
        <w:spacing w:after="60" w:before="60"/>
      </w:pPr>
      <w:r>
        <w:rPr>
          <w:rFonts w:ascii="Cambria" w:cs="Cambria" w:eastAsia="Cambria" w:hAnsi="Cambria"/>
          <w:b/>
          <w:bCs/>
          <w:color w:val="1B2430"/>
          <w:sz w:val="54"/>
          <w:szCs w:val="54"/>
        </w:rPr>
        <w:t xml:space="preserve">Diseño de la plataforma</w:t>
      </w:r>
    </w:p>
    <w:p>
      <w:pPr>
        <w:spacing w:after="40"/>
      </w:pPr>
      <w:r>
        <w:rPr>
          <w:rFonts w:ascii="Cambria" w:cs="Cambria" w:eastAsia="Cambria" w:hAnsi="Cambria"/>
          <w:i/>
          <w:iCs/>
          <w:color w:val="6B7280"/>
          <w:sz w:val="26"/>
          <w:szCs w:val="26"/>
        </w:rPr>
        <w:t xml:space="preserve">Modelo de datos · Casos de uso · Pantallas</w:t>
      </w:r>
    </w:p>
    <w:p>
      <w:pPr>
        <w:pBdr>
          <w:bottom w:val="single" w:color="3B37B0" w:sz="12"/>
        </w:pBdr>
        <w:spacing w:after="400" w:before="4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/>
      </w:r>
    </w:p>
    <w:p>
      <w:pPr>
        <w:spacing w:after="46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Documento de diseño que acompaña a la especificación de requerimientos: describe el modelo de datos, los casos de uso principales y las pantallas de la plataforma a nivel de mockup.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EEED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3B37B0"/>
                <w:sz w:val="16"/>
                <w:szCs w:val="16"/>
              </w:rPr>
              <w:t xml:space="preserve">Campo</w:t>
            </w:r>
          </w:p>
        </w:tc>
        <w:tc>
          <w:tcPr>
            <w:tcW w:type="dxa" w:w="748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EEED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3B37B0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Producto</w:t>
            </w:r>
          </w:p>
        </w:tc>
        <w:tc>
          <w:tcPr>
            <w:tcW w:type="dxa" w:w="748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MunIA Fomento — plataforma de gestión de fomento productivo municipal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Versión</w:t>
            </w:r>
          </w:p>
        </w:tc>
        <w:tc>
          <w:tcPr>
            <w:tcW w:type="dxa" w:w="748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Fecha</w:t>
            </w:r>
          </w:p>
        </w:tc>
        <w:tc>
          <w:tcPr>
            <w:tcW w:type="dxa" w:w="748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1 de septiembre de 2026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Complemento de</w:t>
            </w:r>
          </w:p>
        </w:tc>
        <w:tc>
          <w:tcPr>
            <w:tcW w:type="dxa" w:w="748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Documento de Requerimientos v1.0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Mockups</w:t>
            </w:r>
          </w:p>
        </w:tc>
        <w:tc>
          <w:tcPr>
            <w:tcW w:type="dxa" w:w="748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Capturados del sistema de diseño real de la plataforma</w:t>
            </w:r>
          </w:p>
        </w:tc>
      </w:tr>
    </w:tbl>
    <w:p>
      <w:pPr>
        <w:pageBreakBefore/>
        <w:spacing w:after="180"/>
      </w:pPr>
      <w:r>
        <w:rPr>
          <w:rFonts w:ascii="Cambria" w:cs="Cambria" w:eastAsia="Cambria" w:hAnsi="Cambria"/>
          <w:b/>
          <w:bCs/>
          <w:color w:val="1B2430"/>
          <w:sz w:val="30"/>
          <w:szCs w:val="30"/>
        </w:rPr>
        <w:t xml:space="preserve">Contenido</w:t>
      </w:r>
    </w:p>
    <w:p>
      <w:pPr>
        <w:spacing w:after="80" w:line="276"/>
        <w:ind w:left="0"/>
      </w:pPr>
      <w:r>
        <w:rPr>
          <w:rFonts w:ascii="Consolas" w:cs="Consolas" w:eastAsia="Consolas" w:hAnsi="Consolas"/>
          <w:b/>
          <w:bCs/>
          <w:color w:val="3B37B0"/>
          <w:sz w:val="20"/>
          <w:szCs w:val="20"/>
        </w:rPr>
        <w:t xml:space="preserve">1   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Modelo de datos</w:t>
      </w:r>
    </w:p>
    <w:p>
      <w:pPr>
        <w:spacing w:after="80" w:line="276"/>
        <w:ind w:left="0"/>
      </w:pPr>
      <w:r>
        <w:rPr>
          <w:rFonts w:ascii="Consolas" w:cs="Consolas" w:eastAsia="Consolas" w:hAnsi="Consolas"/>
          <w:b/>
          <w:bCs/>
          <w:color w:val="3B37B0"/>
          <w:sz w:val="20"/>
          <w:szCs w:val="20"/>
        </w:rPr>
        <w:t xml:space="preserve">2   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Casos de uso</w:t>
      </w:r>
    </w:p>
    <w:p>
      <w:pPr>
        <w:spacing w:after="40" w:line="276"/>
        <w:ind w:left="640"/>
      </w:pPr>
      <w:r>
        <w:rPr>
          <w:rFonts w:ascii="Consolas" w:cs="Consolas" w:eastAsia="Consolas" w:hAnsi="Consolas"/>
          <w:b w:val="false"/>
          <w:bCs w:val="false"/>
          <w:color w:val="3B37B0"/>
          <w:sz w:val="18"/>
          <w:szCs w:val="18"/>
        </w:rPr>
        <w:t xml:space="preserve">2.1   </w:t>
      </w:r>
      <w:r>
        <w:rPr>
          <w:rFonts w:ascii="Calibri" w:cs="Calibri" w:eastAsia="Calibri" w:hAnsi="Calibri"/>
          <w:b w:val="false"/>
          <w:bCs w:val="false"/>
          <w:color w:val="1B2430"/>
          <w:sz w:val="20"/>
          <w:szCs w:val="20"/>
        </w:rPr>
        <w:t xml:space="preserve">Catálogo de casos de uso</w:t>
      </w:r>
    </w:p>
    <w:p>
      <w:pPr>
        <w:spacing w:after="40" w:line="276"/>
        <w:ind w:left="640"/>
      </w:pPr>
      <w:r>
        <w:rPr>
          <w:rFonts w:ascii="Consolas" w:cs="Consolas" w:eastAsia="Consolas" w:hAnsi="Consolas"/>
          <w:b w:val="false"/>
          <w:bCs w:val="false"/>
          <w:color w:val="3B37B0"/>
          <w:sz w:val="18"/>
          <w:szCs w:val="18"/>
        </w:rPr>
        <w:t xml:space="preserve">2.2   </w:t>
      </w:r>
      <w:r>
        <w:rPr>
          <w:rFonts w:ascii="Calibri" w:cs="Calibri" w:eastAsia="Calibri" w:hAnsi="Calibri"/>
          <w:b w:val="false"/>
          <w:bCs w:val="false"/>
          <w:color w:val="1B2430"/>
          <w:sz w:val="20"/>
          <w:szCs w:val="20"/>
        </w:rPr>
        <w:t xml:space="preserve">Casos de uso detallados</w:t>
      </w:r>
    </w:p>
    <w:p>
      <w:pPr>
        <w:spacing w:after="80" w:line="276"/>
        <w:ind w:left="0"/>
      </w:pPr>
      <w:r>
        <w:rPr>
          <w:rFonts w:ascii="Consolas" w:cs="Consolas" w:eastAsia="Consolas" w:hAnsi="Consolas"/>
          <w:b/>
          <w:bCs/>
          <w:color w:val="3B37B0"/>
          <w:sz w:val="20"/>
          <w:szCs w:val="20"/>
        </w:rPr>
        <w:t xml:space="preserve">3   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Pantallas (mockups)</w:t>
      </w:r>
    </w:p>
    <w:p>
      <w:pPr>
        <w:pStyle w:val="Heading1"/>
        <w:pageBreakBefore/>
        <w:spacing w:after="140" w:before="360"/>
      </w:pPr>
      <w:r>
        <w:rPr>
          <w:rFonts w:ascii="Cambria" w:cs="Cambria" w:eastAsia="Cambria" w:hAnsi="Cambria"/>
          <w:b/>
          <w:bCs/>
          <w:color w:val="3B37B0"/>
          <w:sz w:val="30"/>
          <w:szCs w:val="30"/>
        </w:rPr>
        <w:t xml:space="preserve">1   Modelo de datos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El modelo es relacional y </w:t>
      </w: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multi-tenant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: toda entidad de negocio cuelga de un municipio (TENANT) y queda aislada por él. Una sola identidad de emprendedor atraviesa los tres módulos. Por legibilidad se presenta en dos vistas.</w:t>
      </w:r>
    </w:p>
    <w:p>
      <w:pPr>
        <w:spacing w:after="50" w:before="80"/>
        <w:jc w:val="center"/>
      </w:pPr>
      <w:r>
        <w:drawing>
          <wp:inline distT="0" distB="0" distL="0" distR="0">
            <wp:extent cx="6191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onsolas" w:cs="Consolas" w:eastAsia="Consolas" w:hAnsi="Consolas"/>
          <w:b/>
          <w:bCs/>
          <w:color w:val="3B37B0"/>
          <w:sz w:val="16"/>
          <w:szCs w:val="16"/>
        </w:rPr>
        <w:t xml:space="preserve">Figura 1.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Núcleo (municipio, usuarios, rubros) y módulo Ferias, con el doble score (scorePropuesta en POSTULACION, repScore en EMPRENDEDOR).</w:t>
      </w:r>
    </w:p>
    <w:p>
      <w:pPr>
        <w:spacing w:after="50" w:before="80"/>
        <w:jc w:val="center"/>
      </w:pPr>
      <w:r>
        <w:drawing>
          <wp:inline distT="0" distB="0" distL="0" distR="0">
            <wp:extent cx="619125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onsolas" w:cs="Consolas" w:eastAsia="Consolas" w:hAnsi="Consolas"/>
          <w:b/>
          <w:bCs/>
          <w:color w:val="3B37B0"/>
          <w:sz w:val="16"/>
          <w:szCs w:val="16"/>
        </w:rPr>
        <w:t xml:space="preserve">Figura 2.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Módulos Capacitación y Fondos, y entidades transversales: notificaciones, plantillas, auditoría, archivos y solicitudes ARCO (Ley 21.719).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B2430"/>
          <w:sz w:val="24"/>
          <w:szCs w:val="24"/>
        </w:rPr>
        <w:t xml:space="preserve">Notas del modelo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Identidad única.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USUARIO se especializa 1:1 en EMPRENDEDOR o FUNCIONARIO; el emprendedor es el mismo en ferias, cursos y fondos.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Acceso rol × módulo.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FUNCIONARIO lleva rol y el arreglo de módulos con acceso; se valida en el backend en cada operación.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Doble score.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POSTULACION.scorePropuesta (admisión, efímero) y EMPRENDEDOR.repScore (desempeño, persistente) se combinan con la perilla de la FERIA.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Rubro maestro.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RUBRO guarda un código estándar inter-comunal + alias local; no se expone CIIU/SII.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Trazabilidad y datos.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AUDIT_LOG firma cada acción sensible; SOLICITUD_ARCO opera los derechos de la Ley 21.719; ARCHIVO guarda metadatos (binarios fuera de la base).</w:t>
      </w:r>
    </w:p>
    <w:p>
      <w:pPr>
        <w:pStyle w:val="Heading1"/>
        <w:pageBreakBefore/>
        <w:spacing w:after="140" w:before="360"/>
      </w:pPr>
      <w:r>
        <w:rPr>
          <w:rFonts w:ascii="Cambria" w:cs="Cambria" w:eastAsia="Cambria" w:hAnsi="Cambria"/>
          <w:b/>
          <w:bCs/>
          <w:color w:val="3B37B0"/>
          <w:sz w:val="30"/>
          <w:szCs w:val="30"/>
        </w:rPr>
        <w:t xml:space="preserve">2   Casos de uso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Los actores son Emprendedor (se auto-inscribe) y los funcionarios Administrador, Evaluador y Jefatura (acceso asignado). El siguiente flujo resume el ciclo de vida de una feria, que articula la mayoría de los casos de uso del módulo más maduro.</w:t>
      </w:r>
    </w:p>
    <w:p>
      <w:pPr>
        <w:spacing w:after="50" w:before="80"/>
        <w:jc w:val="center"/>
      </w:pPr>
      <w:r>
        <w:drawing>
          <wp:inline distT="0" distB="0" distL="0" distR="0">
            <wp:extent cx="61912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onsolas" w:cs="Consolas" w:eastAsia="Consolas" w:hAnsi="Consolas"/>
          <w:b/>
          <w:bCs/>
          <w:color w:val="3B37B0"/>
          <w:sz w:val="16"/>
          <w:szCs w:val="16"/>
        </w:rPr>
        <w:t xml:space="preserve">Figura 3.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Ciclo de vida de una feria: de la configuración a la consolidación de la reputación.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B2430"/>
          <w:sz w:val="24"/>
          <w:szCs w:val="24"/>
        </w:rPr>
        <w:t xml:space="preserve">2.1  Catálogo de casos de uso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350"/>
        <w:gridCol w:w="5330"/>
        <w:gridCol w:w="1900"/>
        <w:gridCol w:w="1500"/>
      </w:tblGrid>
      <w:tr>
        <w:trPr>
          <w:tblHeader/>
        </w:trP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EEED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3B37B0"/>
                <w:sz w:val="16"/>
                <w:szCs w:val="16"/>
              </w:rPr>
              <w:t xml:space="preserve">ID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EEED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3B37B0"/>
                <w:sz w:val="16"/>
                <w:szCs w:val="16"/>
              </w:rPr>
              <w:t xml:space="preserve">Caso de uso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EEED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3B37B0"/>
                <w:sz w:val="16"/>
                <w:szCs w:val="16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EEED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aps/>
                <w:color w:val="3B37B0"/>
                <w:sz w:val="16"/>
                <w:szCs w:val="16"/>
              </w:rPr>
              <w:t xml:space="preserve">Módulo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CU-01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Registrarse y otorgar consentimiento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Emprendedor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Transversal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CU-02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Iniciar sesión (ClaveÚnica o contraseña)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Todos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Transversal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CU-03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Postular a una feria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Emprendedor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Ferias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CU-04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Configurar feria (perilla y preguntas)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Ferias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CU-05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Seleccionar postulantes por ranking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Ferias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CU-06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Evaluar en terreno (3 capas)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Evaluador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Ferias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CU-07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Cerrar feria y consolidar reputación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Ferias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CU-08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Inscribirse a un curso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Emprendedor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Capacitación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CU-09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Tomar asistencia y certificar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Capacitación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CU-10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Descubrir fondo con asistente IA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Emprendedor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Fondos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CU-11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Postular a un fondo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Emprendedor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Fondos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CU-12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Evaluar y adjudicar fondo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Fondos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CU-13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Gestionar usuarios (rol × módulo)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Gobernanza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CU-14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Ejercer derechos ARCO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Emprendedor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Cumplimiento</w:t>
            </w:r>
          </w:p>
        </w:tc>
      </w:tr>
      <w:tr>
        <w:tc>
          <w:tcPr>
            <w:tcW w:type="dxa" w:w="135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B2430"/>
                <w:sz w:val="17"/>
                <w:szCs w:val="17"/>
              </w:rPr>
              <w:t xml:space="preserve">CU-15</w:t>
            </w:r>
          </w:p>
        </w:tc>
        <w:tc>
          <w:tcPr>
            <w:tcW w:type="dxa" w:w="533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Configurar el municipio</w:t>
            </w:r>
          </w:p>
        </w:tc>
        <w:tc>
          <w:tcPr>
            <w:tcW w:type="dxa" w:w="19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D9DCE3" w:sz="4"/>
              <w:left w:val="none"/>
              <w:bottom w:val="single" w:color="D9DCE3" w:sz="4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2430"/>
                <w:sz w:val="21"/>
                <w:szCs w:val="21"/>
              </w:rPr>
              <w:t xml:space="preserve">Gobernanza</w:t>
            </w:r>
          </w:p>
        </w:tc>
      </w:tr>
    </w:tbl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B2430"/>
          <w:sz w:val="24"/>
          <w:szCs w:val="24"/>
        </w:rPr>
        <w:t xml:space="preserve">2.2  Casos de uso detallados</w:t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CU-03 · Postular a una feria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Actor: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Emprendedor (módulo Ferias)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Precondición: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La feria está abierta y el emprendedor ha iniciado sesión.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Flujo principal: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Abre la lista de ferias abiertas y elige una; el sistema muestra si prioriza propuesta o trayectoria.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El sistema autocompleta el bloque núcleo desde su perfil.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Responde las preguntas configurables (texto, selección, sí/no, número, adjunto).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Envía la postulación; el sistema calcula el scorePropuesta desde las respuestas puntuables.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Postcondición: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Queda una POSTULACION en estado “pendiente”; se dispara la notificación “postulación recibida”.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Alternativas: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Si ya postuló, el sistema lo indica y no permite duplicar.</w:t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CU-05 · Seleccionar postulantes por ranking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Actor: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Administrador (módulo Ferias)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Precondición: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La feria tiene postulaciones y está en evaluación.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Flujo principal: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Abre la selección; el sistema ordena a los postulantes por score combinado según la perilla.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Ajusta la perilla (propuesta vs. trayectoria); el ranking se recalcula en vivo con el desglose visible.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Revisa cada fila (aporte de propuesta + aporte de reputación) hasta el corte por cupos.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Admite, deja en lista de espera o rechaza (rechazar pide confirmación).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Postcondición: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Las postulaciones cambian de estado; cada decisión queda auditada y notifica al emprendedor.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Alternativas: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Un emprendedor nuevo (reputación 0) puede quedar sobre el corte si la perilla pondera alto la propuesta.</w:t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CU-06 · Evaluar en terreno (3 capas)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Actor: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Evaluador asignado (módulo Ferias)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Precondición: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La feria está en curso y el evaluador fue asignado a ella.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Flujo principal: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Abre la feria asignada y ve la lista de admitidos con la barra “N de M evaluados”.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Marca la Capa 1 (cumplimiento) ítem por ítem; cada marca se guarda al instante.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Registra la Capa 3 (calidad) con estrellas, opcional.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Marca al emprendedor como evaluado cuando completa la capa 1.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Postcondición: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Queda una EVALUACION_TERRENO por emprendedor; alimenta la reputación al cerrar la feria.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Alternativas: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Si el evaluador no está asignado a la feria, el sistema niega el acceso.</w:t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CU-10 · Descubrir fondo con asistente IA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Actor: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Emprendedor (módulo Fondos)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Precondición: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El emprendedor ha iniciado sesión y tiene perfil con rubro.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Flujo principal: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Elige la puerta “Cuéntame qué necesitas” y describe su necesidad en lenguaje natural.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El asistente (proveedor de match intercambiable: mock o RAG de MunIA) identifica el fondo compatible.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Responde con el fondo sugerido, el porqué, monto y plazo, y ofrece abrir la ficha.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El emprendedor abre la ficha, revisa los requisitos checkeados contra su perfil y postula.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Postcondición: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Se crea una POSTULACION_FONDO; el municipio la evaluará con la reputación cruzada del emprendedor.</w:t>
      </w:r>
    </w:p>
    <w:p>
      <w:pPr>
        <w:spacing w:after="60" w:line="272"/>
      </w:pPr>
      <w:r>
        <w:rPr>
          <w:rFonts w:ascii="Calibri" w:cs="Calibri" w:eastAsia="Calibri" w:hAnsi="Calibri"/>
          <w:b/>
          <w:bCs/>
          <w:color w:val="3B37B0"/>
          <w:sz w:val="21"/>
          <w:szCs w:val="21"/>
        </w:rPr>
        <w:t xml:space="preserve">Alternativas: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Si ningún fondo califica para su perfil, el asistente no inventa: sugiere completar el perfil.</w:t>
      </w:r>
    </w:p>
    <w:p>
      <w:pPr>
        <w:pStyle w:val="Heading1"/>
        <w:pageBreakBefore/>
        <w:spacing w:after="140" w:before="360"/>
      </w:pPr>
      <w:r>
        <w:rPr>
          <w:rFonts w:ascii="Cambria" w:cs="Cambria" w:eastAsia="Cambria" w:hAnsi="Cambria"/>
          <w:b/>
          <w:bCs/>
          <w:color w:val="3B37B0"/>
          <w:sz w:val="30"/>
          <w:szCs w:val="30"/>
        </w:rPr>
        <w:t xml:space="preserve">3   Pantallas (mockups)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Las siguientes pantallas ilustran los flujos principales, reproducidas con el sistema de diseño real de la plataforma (sobrio, técnico, mobile-first en los flujos de terreno).</w:t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Acceso — login diferenciado</w:t>
      </w:r>
    </w:p>
    <w:p>
      <w:pPr>
        <w:spacing w:after="6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Dos puertas: el emprendedor se auto-inscribe; el funcionario entra por un acceso discreto. El acceso rápido por rol es propio de la demo.</w:t>
      </w:r>
    </w:p>
    <w:p>
      <w:pPr>
        <w:spacing w:after="50" w:before="80"/>
        <w:jc w:val="center"/>
      </w:pPr>
      <w:r>
        <w:drawing>
          <wp:inline distT="0" distB="0" distL="0" distR="0">
            <wp:extent cx="2857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Hub de módulos</w:t>
      </w:r>
    </w:p>
    <w:p>
      <w:pPr>
        <w:spacing w:after="6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Punto de entrada: tarjetas-territorio de los módulos activos del municipio, con el acento por módulo (Ferias azul, Capacitación violeta, Fondos verde).</w:t>
      </w:r>
    </w:p>
    <w:p>
      <w:pPr>
        <w:spacing w:after="50" w:before="8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Ferias — selección con perilla</w:t>
      </w:r>
    </w:p>
    <w:p>
      <w:pPr>
        <w:spacing w:after="6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El corazón del módulo: ranking por score combinado, recalculable con la perilla, con el desglose propuesta + trayectoria visible y el corte por cupos.</w:t>
      </w:r>
    </w:p>
    <w:p>
      <w:pPr>
        <w:spacing w:after="50" w:before="80"/>
        <w:jc w:val="center"/>
      </w:pPr>
      <w:r>
        <w:drawing>
          <wp:inline distT="0" distB="0" distL="0" distR="0">
            <wp:extent cx="619125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Ferias — evaluación en terreno (móvil)</w:t>
      </w:r>
    </w:p>
    <w:p>
      <w:pPr>
        <w:spacing w:after="6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Mobile-first para uso a una mano en terreno: Capa 1 (cumplimiento, guardado al instante), Capa 3 (calidad) y Capa 2 (autoreporte).</w:t>
      </w:r>
    </w:p>
    <w:p>
      <w:pPr>
        <w:spacing w:after="50" w:before="80"/>
        <w:jc w:val="center"/>
      </w:pPr>
      <w:r>
        <w:drawing>
          <wp:inline distT="0" distB="0" distL="0" distR="0">
            <wp:extent cx="27622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Fondos — asistente con IA</w:t>
      </w:r>
    </w:p>
    <w:p>
      <w:pPr>
        <w:spacing w:after="6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Una de las dos puertas: el emprendedor describe su necesidad y el asistente sugiere el fondo compatible con enlace a la ficha.</w:t>
      </w:r>
    </w:p>
    <w:p>
      <w:pPr>
        <w:spacing w:after="50" w:before="80"/>
        <w:jc w:val="center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Cambria" w:cs="Cambria" w:eastAsia="Cambria" w:hAnsi="Cambria"/>
          <w:b/>
          <w:bCs/>
          <w:color w:val="1B2430"/>
          <w:sz w:val="21"/>
          <w:szCs w:val="21"/>
        </w:rPr>
        <w:t xml:space="preserve">Fondos — ficha de fondo</w:t>
      </w:r>
    </w:p>
    <w:p>
      <w:pPr>
        <w:spacing w:after="60" w:before="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Requisitos checkeados contra el perfil (“cumples 3 de 3”), compatibilidad, monto, plazo y preguntas frecuentes, con la acción de postular.</w:t>
      </w:r>
    </w:p>
    <w:p>
      <w:pPr>
        <w:spacing w:after="50" w:before="80"/>
        <w:jc w:val="center"/>
      </w:pPr>
      <w:r>
        <w:drawing>
          <wp:inline distT="0" distB="0" distL="0" distR="0">
            <wp:extent cx="34290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3B37B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  <w:rPr>
        <w:b/>
        <w:bCs/>
        <w:color w:val="3B37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3B37B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24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b46b28b0947a29fe892f52e2e555e6cf17e4c8.png"/><Relationship Id="rId8" Type="http://schemas.openxmlformats.org/officeDocument/2006/relationships/image" Target="media/ce40a18d61850043933078cd29fcca6842ef31d8.png"/><Relationship Id="rId9" Type="http://schemas.openxmlformats.org/officeDocument/2006/relationships/image" Target="media/6abf81f1a51d247f0a3ce1d8312722e5db59164f.png"/><Relationship Id="rId10" Type="http://schemas.openxmlformats.org/officeDocument/2006/relationships/image" Target="media/15037ac1bc36ccd64deb4fefce383d75c6c13510.png"/><Relationship Id="rId11" Type="http://schemas.openxmlformats.org/officeDocument/2006/relationships/image" Target="media/aba41a263d2cb725f3a31a77e5174fdb84435bf3.png"/><Relationship Id="rId12" Type="http://schemas.openxmlformats.org/officeDocument/2006/relationships/image" Target="media/a14d7a47938878d2a8547166d0ca42958b8dc12e.png"/><Relationship Id="rId13" Type="http://schemas.openxmlformats.org/officeDocument/2006/relationships/image" Target="media/6de0430e9fede29c17d03a784807b6a94d0663bf.png"/><Relationship Id="rId14" Type="http://schemas.openxmlformats.org/officeDocument/2006/relationships/image" Target="media/f84f28673f957b788cff3fb9b78ced9f09f65ee8.png"/><Relationship Id="rId15" Type="http://schemas.openxmlformats.org/officeDocument/2006/relationships/image" Target="media/056168c715b92a9d2479cf4d003114ef43f78a5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MunIA Fomento</dc:title>
  <dc:creator>MunIA</dc:creator>
  <dc:description>Modelo de datos, casos de uso y pantallas de la plataforma de fomento productivo municipal</dc:description>
  <cp:lastModifiedBy>Un-named</cp:lastModifiedBy>
  <cp:revision>1</cp:revision>
  <dcterms:created xsi:type="dcterms:W3CDTF">2026-09-01T21:08:38.730Z</dcterms:created>
  <dcterms:modified xsi:type="dcterms:W3CDTF">2026-09-01T21:08:38.731Z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