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EABC - AdS₂/CFT₁ OPE Arithmetic</w:t>
      </w:r>
    </w:p>
    <w:p>
      <w:pPr>
        <w:jc w:val="center"/>
      </w:pPr>
      <w:r>
        <w:rPr>
          <w:b/>
          <w:sz w:val="36"/>
        </w:rPr>
        <w:t>Final Audit &amp; Gate Certificate v1.0</w:t>
      </w:r>
    </w:p>
    <w:p>
      <w:pPr>
        <w:jc w:val="center"/>
      </w:pPr>
      <w:r>
        <w:rPr>
          <w:i/>
        </w:rPr>
        <w:t>Archived research note · 2 October 2026</w:t>
      </w:r>
    </w:p>
    <w:p/>
    <w:tbl>
      <w:tblPr>
        <w:tblW w:type="auto" w:w="0"/>
        <w:jc w:val="center"/>
        <w:tblLayout w:type="autofit"/>
        <w:tblLook w:firstColumn="1" w:firstRow="1" w:lastColumn="0" w:lastRow="0" w:noHBand="0" w:noVBand="1" w:val="04A0"/>
      </w:tblPr>
      <w:tblGrid>
        <w:gridCol w:w="9878"/>
      </w:tblGrid>
      <w:tr>
        <w:tc>
          <w:tcPr>
            <w:tcW w:type="dxa" w:w="9878"/>
            <w:shd w:fill="EAF2F8"/>
          </w:tcPr>
          <w:p>
            <w:r>
              <w:rPr>
                <w:b/>
                <w:sz w:val="22"/>
              </w:rPr>
              <w:t>Audit scope</w:t>
              <w:br/>
            </w:r>
            <w:r>
              <w:t>This report freezes the current mathematical status of the defined EABC / AdS₂/CFT₁ OPE-arithmetic model. PASS means proved within the stated definitions and conventions; CONDITIONAL PASS means the conclusion follows from an explicitly declared ansatz. The report does not claim an experimental validation of a quantum-gravity theory.</w:t>
            </w:r>
          </w:p>
        </w:tc>
      </w:tr>
    </w:tbl>
    <w:p/>
    <w:p>
      <w:pPr>
        <w:pStyle w:val="Heading2"/>
      </w:pPr>
      <w:r>
        <w:t>Core result</w:t>
      </w:r>
    </w:p>
    <w:p>
      <w:pPr>
        <w:pStyle w:val="Equation"/>
        <w:jc w:val="center"/>
      </w:pPr>
      <w:r>
        <w:t>γₙ = 1/aₙ⁽⁰⁾ [ -(5/3) g²ₓₓ𝓏 Λφ rₙ + A₂ sₙ + λ₄ Kct cₙ ]</w:t>
      </w:r>
    </w:p>
    <w:p>
      <w:pPr>
        <w:pStyle w:val="Equation"/>
        <w:jc w:val="center"/>
      </w:pPr>
      <w:r>
        <w:t>Λφ = 4^√5 /(8π³) · [ Γ(φ)² / Γ(2φ) ]⁴,    φ = (1+√5)/2</w:t>
      </w:r>
    </w:p>
    <w:p>
      <w:r>
        <w:br w:type="page"/>
      </w:r>
    </w:p>
    <w:p>
      <w:pPr>
        <w:pStyle w:val="Heading1"/>
      </w:pPr>
      <w:r>
        <w:t>1. Executive Summary</w:t>
      </w:r>
    </w:p>
    <w:p>
      <w:r>
        <w:t>The audit separates exact algebraic statements, normalization statements, geometric tiling statements, and conditional model assumptions. The φ-exchange and Δ=2 constraint projections close over Q(√5). The AdS₂ bulk propagator introduces no new Gamma-function structure. The two-stage normalization audit N₀/N₁ fixes the absolute exchange normalization and provides a parameter-free spectral ratio test.</w:t>
      </w:r>
    </w:p>
    <w:p>
      <w:pPr>
        <w:pStyle w:val="Equation"/>
        <w:jc w:val="center"/>
      </w:pPr>
      <w:r>
        <w:t>Gnorm = PASS,   qproj = 1</w:t>
      </w:r>
    </w:p>
    <w:p>
      <w:pPr>
        <w:pStyle w:val="Equation"/>
        <w:jc w:val="center"/>
      </w:pPr>
      <w:r>
        <w:t>γ₁⁽φ⁾ / γ₀⁽φ⁾ = (-32 + 14√5)/5 ≈ -0.1390096630</w:t>
      </w:r>
    </w:p>
    <w:p>
      <w:r>
        <w:t>The Hat/Einstein-tile module is retained only as a hierarchical geometric layer. It does not replace the EABC → Q₈ → O algebra. The geometric RG statement and the operator-MERA statement are therefore recorded separately.</w:t>
      </w:r>
    </w:p>
    <w:p>
      <w:pPr>
        <w:pStyle w:val="Heading1"/>
      </w:pPr>
      <w:r>
        <w:t>2. Gate Register</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AF7"/>
          </w:tcPr>
          <w:p>
            <w:r>
              <w:rPr>
                <w:b/>
              </w:rPr>
              <w:t>Gate / module</w:t>
            </w:r>
          </w:p>
        </w:tc>
        <w:tc>
          <w:tcPr>
            <w:tcW w:type="dxa" w:w="3293"/>
            <w:shd w:fill="D9EAF7"/>
          </w:tcPr>
          <w:p>
            <w:r>
              <w:rPr>
                <w:b/>
              </w:rPr>
              <w:t>Status</w:t>
            </w:r>
          </w:p>
        </w:tc>
        <w:tc>
          <w:tcPr>
            <w:tcW w:type="dxa" w:w="3293"/>
            <w:shd w:fill="D9EAF7"/>
          </w:tcPr>
          <w:p>
            <w:r>
              <w:rPr>
                <w:b/>
              </w:rPr>
              <w:t>Audit basis</w:t>
            </w:r>
          </w:p>
        </w:tc>
      </w:tr>
      <w:tr>
        <w:tc>
          <w:tcPr>
            <w:tcW w:type="dxa" w:w="3293"/>
          </w:tcPr>
          <w:p>
            <w:r>
              <w:t>Gφ-exchange</w:t>
            </w:r>
          </w:p>
        </w:tc>
        <w:tc>
          <w:tcPr>
            <w:tcW w:type="dxa" w:w="3293"/>
            <w:vAlign w:val="center"/>
          </w:tcPr>
          <w:p>
            <w:r>
              <w:t>PASS</w:t>
            </w:r>
          </w:p>
        </w:tc>
        <w:tc>
          <w:tcPr>
            <w:tcW w:type="dxa" w:w="3293"/>
          </w:tcPr>
          <w:p>
            <w:r>
              <w:t>rₙ ∈ Q(√5) under the declared block projector.</w:t>
            </w:r>
          </w:p>
        </w:tc>
      </w:tr>
      <w:tr>
        <w:tc>
          <w:tcPr>
            <w:tcW w:type="dxa" w:w="3293"/>
          </w:tcPr>
          <w:p>
            <w:r>
              <w:t>G2-constraint</w:t>
            </w:r>
          </w:p>
        </w:tc>
        <w:tc>
          <w:tcPr>
            <w:tcW w:type="dxa" w:w="3293"/>
            <w:vAlign w:val="center"/>
          </w:tcPr>
          <w:p>
            <w:r>
              <w:t>PASS</w:t>
            </w:r>
          </w:p>
        </w:tc>
        <w:tc>
          <w:tcPr>
            <w:tcW w:type="dxa" w:w="3293"/>
          </w:tcPr>
          <w:p>
            <w:r>
              <w:t>sₙ ∈ Q(√5) for the terminating Δex=2 projection.</w:t>
            </w:r>
          </w:p>
        </w:tc>
      </w:tr>
      <w:tr>
        <w:tc>
          <w:tcPr>
            <w:tcW w:type="dxa" w:w="3293"/>
          </w:tcPr>
          <w:p>
            <w:r>
              <w:t>Gprop</w:t>
            </w:r>
          </w:p>
        </w:tc>
        <w:tc>
          <w:tcPr>
            <w:tcW w:type="dxa" w:w="3293"/>
            <w:vAlign w:val="center"/>
          </w:tcPr>
          <w:p>
            <w:r>
              <w:t>PASS</w:t>
            </w:r>
          </w:p>
        </w:tc>
        <w:tc>
          <w:tcPr>
            <w:tcW w:type="dxa" w:w="3293"/>
          </w:tcPr>
          <w:p>
            <w:r>
              <w:t>AdS₂ Green function is proportional to Qφ-1; no new Gamma kernel.</w:t>
            </w:r>
          </w:p>
        </w:tc>
      </w:tr>
      <w:tr>
        <w:tc>
          <w:tcPr>
            <w:tcW w:type="dxa" w:w="3293"/>
          </w:tcPr>
          <w:p>
            <w:r>
              <w:t>GGolden</w:t>
            </w:r>
          </w:p>
        </w:tc>
        <w:tc>
          <w:tcPr>
            <w:tcW w:type="dxa" w:w="3293"/>
            <w:vAlign w:val="center"/>
          </w:tcPr>
          <w:p>
            <w:r>
              <w:t>PASS</w:t>
            </w:r>
          </w:p>
        </w:tc>
        <w:tc>
          <w:tcPr>
            <w:tcW w:type="dxa" w:w="3293"/>
          </w:tcPr>
          <w:p>
            <w:r>
              <w:t>Golden-ratio scaling structure in the adopted Hat-metatile hierarchy.</w:t>
            </w:r>
          </w:p>
        </w:tc>
      </w:tr>
      <w:tr>
        <w:tc>
          <w:tcPr>
            <w:tcW w:type="dxa" w:w="3293"/>
          </w:tcPr>
          <w:p>
            <w:r>
              <w:t>GRG geom</w:t>
            </w:r>
          </w:p>
        </w:tc>
        <w:tc>
          <w:tcPr>
            <w:tcW w:type="dxa" w:w="3293"/>
            <w:vAlign w:val="center"/>
          </w:tcPr>
          <w:p>
            <w:r>
              <w:t>PASS</w:t>
            </w:r>
          </w:p>
        </w:tc>
        <w:tc>
          <w:tcPr>
            <w:tcW w:type="dxa" w:w="3293"/>
          </w:tcPr>
          <w:p>
            <w:r>
              <w:t>Linear inflation s=φ² gives area progression φ⁴ᵏ.</w:t>
            </w:r>
          </w:p>
        </w:tc>
      </w:tr>
      <w:tr>
        <w:tc>
          <w:tcPr>
            <w:tcW w:type="dxa" w:w="3293"/>
          </w:tcPr>
          <w:p>
            <w:r>
              <w:t>Gnorm</w:t>
            </w:r>
          </w:p>
        </w:tc>
        <w:tc>
          <w:tcPr>
            <w:tcW w:type="dxa" w:w="3293"/>
            <w:vAlign w:val="center"/>
          </w:tcPr>
          <w:p>
            <w:r>
              <w:t>PASS</w:t>
            </w:r>
          </w:p>
        </w:tc>
        <w:tc>
          <w:tcPr>
            <w:tcW w:type="dxa" w:w="3293"/>
          </w:tcPr>
          <w:p>
            <w:r>
              <w:t>N₀: qproj=1; N₁: parameter-free spectral ratio passes.</w:t>
            </w:r>
          </w:p>
        </w:tc>
      </w:tr>
      <w:tr>
        <w:tc>
          <w:tcPr>
            <w:tcW w:type="dxa" w:w="3293"/>
          </w:tcPr>
          <w:p>
            <w:r>
              <w:t>Gct algebraic</w:t>
            </w:r>
          </w:p>
        </w:tc>
        <w:tc>
          <w:tcPr>
            <w:tcW w:type="dxa" w:w="3293"/>
            <w:vAlign w:val="center"/>
          </w:tcPr>
          <w:p>
            <w:r>
              <w:t>CONDITIONAL PASS</w:t>
            </w:r>
          </w:p>
        </w:tc>
        <w:tc>
          <w:tcPr>
            <w:tcW w:type="dxa" w:w="3293"/>
          </w:tcPr>
          <w:p>
            <w:r>
              <w:t>cₙ ∈ Q(√5) under the stated D-bar logarithmic expansion.</w:t>
            </w:r>
          </w:p>
        </w:tc>
      </w:tr>
      <w:tr>
        <w:tc>
          <w:tcPr>
            <w:tcW w:type="dxa" w:w="3293"/>
          </w:tcPr>
          <w:p>
            <w:r>
              <w:t>GRG operator</w:t>
            </w:r>
          </w:p>
        </w:tc>
        <w:tc>
          <w:tcPr>
            <w:tcW w:type="dxa" w:w="3293"/>
            <w:vAlign w:val="center"/>
          </w:tcPr>
          <w:p>
            <w:r>
              <w:t>CONDITIONAL PASS</w:t>
            </w:r>
          </w:p>
        </w:tc>
        <w:tc>
          <w:tcPr>
            <w:tcW w:type="dxa" w:w="3293"/>
          </w:tcPr>
          <w:p>
            <w:r>
              <w:t>Requires scale-invariant MERA isometries and the stated scaling-superoperator ansatz.</w:t>
            </w:r>
          </w:p>
        </w:tc>
      </w:tr>
    </w:tbl>
    <w:p>
      <w:pPr>
        <w:pStyle w:val="Heading1"/>
      </w:pPr>
      <w:r>
        <w:t>3. Definitions and Conventions</w:t>
      </w:r>
    </w:p>
    <w:p>
      <w:r>
        <w:t>Golden parameter and AdS₂ mass-dimension relation:</w:t>
      </w:r>
    </w:p>
    <w:p>
      <w:pPr>
        <w:pStyle w:val="Equation"/>
        <w:jc w:val="center"/>
      </w:pPr>
      <w:r>
        <w:t>φ = (1+√5)/2,    φ(φ-1)=1,    m²L²=1  ⇒  Δ=φ</w:t>
      </w:r>
    </w:p>
    <w:p>
      <w:r>
        <w:t>Universal Gamma kernel:</w:t>
      </w:r>
    </w:p>
    <w:p>
      <w:pPr>
        <w:pStyle w:val="Equation"/>
        <w:jc w:val="center"/>
      </w:pPr>
      <w:r>
        <w:t>Kφ := Γ(φ)² / Γ(2φ)</w:t>
      </w:r>
    </w:p>
    <w:p>
      <w:r>
        <w:t>Bulk-to-boundary normalization and boundary two-point normalization:</w:t>
      </w:r>
    </w:p>
    <w:p>
      <w:pPr>
        <w:pStyle w:val="Equation"/>
        <w:jc w:val="center"/>
      </w:pPr>
      <w:r>
        <w:t>Cφ = Γ(φ) / [√π Γ(φ-1/2)] = √5·2^(√5-1)/π · Kφ</w:t>
      </w:r>
    </w:p>
    <w:p>
      <w:pPr>
        <w:pStyle w:val="Equation"/>
        <w:jc w:val="center"/>
      </w:pPr>
      <w:r>
        <w:t>N₂(φ) = (2φ-1)Cφ = √5 Cφ</w:t>
      </w:r>
    </w:p>
    <w:p>
      <w:r>
        <w:t>Mean-field double-trace ladder and OPE coefficients:</w:t>
      </w:r>
    </w:p>
    <w:p>
      <w:pPr>
        <w:pStyle w:val="Equation"/>
        <w:jc w:val="center"/>
      </w:pPr>
      <w:r>
        <w:t>Δₙ⁽⁰⁾ = 2φ + 2n</w:t>
      </w:r>
    </w:p>
    <w:p>
      <w:pPr>
        <w:pStyle w:val="Equation"/>
        <w:jc w:val="center"/>
      </w:pPr>
      <w:r>
        <w:t>aₙ⁽⁰⁾ = 2[(φ)ₙ]² / [n! (2φ+n-1)ₙ]</w:t>
      </w:r>
    </w:p>
    <w:p>
      <w:r>
        <w:t>In particular a₀⁽⁰⁾=2 and a₁⁽⁰⁾=φ. Concrete higher coefficients must be taken from this defining formula; previous incompatible sample values are not part of this certificate.</w:t>
      </w:r>
    </w:p>
    <w:p>
      <w:pPr>
        <w:pStyle w:val="Heading1"/>
      </w:pPr>
      <w:r>
        <w:t>4. φ-Exchange Algebra</w:t>
      </w:r>
    </w:p>
    <w:p>
      <w:r>
        <w:t>The adopted one-dimensional block projection is</w:t>
      </w:r>
    </w:p>
    <w:p>
      <w:pPr>
        <w:pStyle w:val="Equation"/>
        <w:jc w:val="center"/>
      </w:pPr>
      <w:r>
        <w:t>Bₙ⁽Δex⁾ = Jₙ(Δex,φ) / [(Δₙ⁽⁰⁾-Δex)(Δₙ⁽⁰⁾+Δex-1)]</w:t>
      </w:r>
    </w:p>
    <w:p>
      <w:r>
        <w:t>For Δex=φ the terminating hypergeometric reduction gives</w:t>
      </w:r>
    </w:p>
    <w:p>
      <w:pPr>
        <w:pStyle w:val="Equation"/>
        <w:jc w:val="center"/>
      </w:pPr>
      <w:r>
        <w:t>Jₙ(φ,φ) = Kφ · (1-φ)ₙ/(φ)ₙ,    Bₙ⁽φ⁾ = Kφ rₙ,    rₙ ∈ Q(√5)</w:t>
      </w:r>
    </w:p>
    <w:p>
      <w:pPr>
        <w:pStyle w:val="Equation"/>
        <w:jc w:val="center"/>
      </w:pPr>
      <w:r>
        <w:t>r₀ = (4-√5)/11,    r₁ = (11-5√5)/10</w:t>
      </w:r>
    </w:p>
    <w:p>
      <w:r>
        <w:t>Thus the mode dependence is algebraic while the special-function dependence is universal and mode-independent.</w:t>
      </w:r>
    </w:p>
    <w:p>
      <w:pPr>
        <w:pStyle w:val="Heading1"/>
      </w:pPr>
      <w:r>
        <w:t>5. Δ=2 Constraint Channel</w:t>
      </w:r>
    </w:p>
    <w:p>
      <w:r>
        <w:t>For Δex=2 the hypergeometric series terminates at finite n:</w:t>
      </w:r>
    </w:p>
    <w:p>
      <w:pPr>
        <w:pStyle w:val="Equation"/>
        <w:jc w:val="center"/>
      </w:pPr>
      <w:r>
        <w:t>Jₙ(2,φ) = (1/6) · ₃F₂(-n, n+2φ-1, 2; φ, φ; 1)</w:t>
      </w:r>
    </w:p>
    <w:p>
      <w:pPr>
        <w:pStyle w:val="Equation"/>
        <w:jc w:val="center"/>
      </w:pPr>
      <w:r>
        <w:t>Bₙ⁽²⁾ = sₙ ∈ Q(√5)</w:t>
      </w:r>
    </w:p>
    <w:p>
      <w:r>
        <w:t>This establishes the declared algebraic closure of the constraint-channel mode coefficients.</w:t>
      </w:r>
    </w:p>
    <w:p>
      <w:pPr>
        <w:pStyle w:val="Heading1"/>
      </w:pPr>
      <w:r>
        <w:t>6. AdS₂ Propagator Certificate</w:t>
      </w:r>
    </w:p>
    <w:p>
      <w:r>
        <w:t>In the Poincaré half-plane ds²=(dz²+dt²)/z², the invariant Green function for m²L²=1 is fixed by the Klein-Gordon equation, decay at large invariant separation, and the two-dimensional logarithmic short-distance singularity.</w:t>
      </w:r>
    </w:p>
    <w:p>
      <w:pPr>
        <w:pStyle w:val="Equation"/>
        <w:jc w:val="center"/>
      </w:pPr>
      <w:r>
        <w:t>Gφ(X,Y) = (1/2π) Qφ-1(v)</w:t>
      </w:r>
    </w:p>
    <w:p>
      <w:r>
        <w:t>Its boundary asymptotic coefficient is</w:t>
      </w:r>
    </w:p>
    <w:p>
      <w:pPr>
        <w:pStyle w:val="Equation"/>
        <w:jc w:val="center"/>
      </w:pPr>
      <w:r>
        <w:t>CG(φ) = Γ(φ)/[2√π Γ(φ+1/2)] = 2^(√5-1)/π · Kφ</w:t>
      </w:r>
    </w:p>
    <w:p>
      <w:r>
        <w:t>Hence the internal propagator introduces no independent Gamma-function kernel. The audit records this as Gprop = PASS. No claim of transcendence of Kφ is made.</w:t>
      </w:r>
    </w:p>
    <w:p>
      <w:pPr>
        <w:pStyle w:val="Heading1"/>
      </w:pPr>
      <w:r>
        <w:t>7. Final Normalization Gate Gnorm</w:t>
      </w:r>
    </w:p>
    <w:p>
      <w:pPr>
        <w:pStyle w:val="Heading2"/>
      </w:pPr>
      <w:r>
        <w:t>7.1 Stage N₀ - Absolute normalization</w:t>
      </w:r>
    </w:p>
    <w:p>
      <w:r>
        <w:t>The direct Qφ-1 four-point exchange projection, divided by the square of the external two-point normalization, returns the candidate universal factor without an additional projection multiplier.</w:t>
      </w:r>
    </w:p>
    <w:p>
      <w:pPr>
        <w:pStyle w:val="Equation"/>
        <w:jc w:val="center"/>
      </w:pPr>
      <w:r>
        <w:t>Λφdirect = Λφcand = 2^(2√5-3)/π³ · Kφ⁴</w:t>
      </w:r>
    </w:p>
    <w:p>
      <w:pPr>
        <w:pStyle w:val="Equation"/>
        <w:jc w:val="center"/>
      </w:pPr>
      <w:r>
        <w:t>qproj := Λφdirect / Λφcand = 1</w:t>
      </w:r>
    </w:p>
    <w:tbl>
      <w:tblPr>
        <w:tblW w:type="auto" w:w="0"/>
        <w:jc w:val="center"/>
        <w:tblLayout w:type="autofit"/>
        <w:tblLook w:firstColumn="1" w:firstRow="1" w:lastColumn="0" w:lastRow="0" w:noHBand="0" w:noVBand="1" w:val="04A0"/>
      </w:tblPr>
      <w:tblGrid>
        <w:gridCol w:w="9878"/>
      </w:tblGrid>
      <w:tr>
        <w:tc>
          <w:tcPr>
            <w:tcW w:type="dxa" w:w="9878"/>
            <w:shd w:fill="EAF2F8"/>
          </w:tcPr>
          <w:p>
            <w:r>
              <w:rPr>
                <w:b/>
                <w:sz w:val="22"/>
              </w:rPr>
              <w:t>N₀: PASS</w:t>
              <w:br/>
            </w:r>
            <w:r>
              <w:t>No residual rational, algebraic, or special-function normalization factor remains in the declared convention.</w:t>
            </w:r>
          </w:p>
        </w:tc>
      </w:tr>
    </w:tbl>
    <w:p/>
    <w:p>
      <w:pPr>
        <w:pStyle w:val="Heading2"/>
      </w:pPr>
      <w:r>
        <w:t>7.2 Stage N₁ - Parameter-free spectral test</w:t>
      </w:r>
    </w:p>
    <w:p>
      <w:pPr>
        <w:pStyle w:val="Equation"/>
        <w:jc w:val="center"/>
      </w:pPr>
      <w:r>
        <w:t>r₀/a₀⁽⁰⁾ = (4-√5)/22</w:t>
      </w:r>
    </w:p>
    <w:p>
      <w:pPr>
        <w:pStyle w:val="Equation"/>
        <w:jc w:val="center"/>
      </w:pPr>
      <w:r>
        <w:t>r₁/a₁⁽⁰⁾ = (-9+4√5)/5</w:t>
      </w:r>
    </w:p>
    <w:p>
      <w:pPr>
        <w:pStyle w:val="Equation"/>
        <w:jc w:val="center"/>
      </w:pPr>
      <w:r>
        <w:t>γ₁⁽φ⁾/γ₀⁽φ⁾ = (-32+14√5)/5 ≈ -0.1390096630</w:t>
      </w:r>
    </w:p>
    <w:tbl>
      <w:tblPr>
        <w:tblW w:type="auto" w:w="0"/>
        <w:jc w:val="center"/>
        <w:tblLayout w:type="autofit"/>
        <w:tblLook w:firstColumn="1" w:firstRow="1" w:lastColumn="0" w:lastRow="0" w:noHBand="0" w:noVBand="1" w:val="04A0"/>
      </w:tblPr>
      <w:tblGrid>
        <w:gridCol w:w="9878"/>
      </w:tblGrid>
      <w:tr>
        <w:tc>
          <w:tcPr>
            <w:tcW w:type="dxa" w:w="9878"/>
            <w:shd w:fill="EAF2F8"/>
          </w:tcPr>
          <w:p>
            <w:r>
              <w:rPr>
                <w:b/>
                <w:sz w:val="22"/>
              </w:rPr>
              <w:t>N₁: PASS</w:t>
              <w:br/>
            </w:r>
            <w:r>
              <w:t>The first excited mode obeys the parameter-free ratio implied by the same normalization fixed at n=0.</w:t>
            </w:r>
          </w:p>
        </w:tc>
      </w:tr>
    </w:tbl>
    <w:p/>
    <w:p>
      <w:pPr>
        <w:pStyle w:val="Equation"/>
        <w:jc w:val="center"/>
      </w:pPr>
      <w:r>
        <w:t>Gnorm = PASS</w:t>
      </w:r>
    </w:p>
    <w:p>
      <w:pPr>
        <w:pStyle w:val="Heading1"/>
      </w:pPr>
      <w:r>
        <w:t>8. Contact Sector</w:t>
      </w:r>
    </w:p>
    <w:p>
      <w:r>
        <w:t>For the derivative-free quartic contact ansatz, the declared logarithmic D-bar expansion yields a triangular block recursion. Because its coefficients and the MFT data lie in Q(√5), induction gives algebraic closure of the mode coefficients.</w:t>
      </w:r>
    </w:p>
    <w:p>
      <w:pPr>
        <w:pStyle w:val="Equation"/>
        <w:jc w:val="center"/>
      </w:pPr>
      <w:r>
        <w:t>aₙ⁽⁰⁾ cₙ = d₂ₙ - Σₘ&lt;ₙ aₘ⁽⁰⁾ cₘ gₘ,₂ₙ-₂ₘ</w:t>
      </w:r>
    </w:p>
    <w:p>
      <w:pPr>
        <w:pStyle w:val="Equation"/>
        <w:jc w:val="center"/>
      </w:pPr>
      <w:r>
        <w:t>cₙ ∈ Q(√5)   for all n, conditional on the stated D-bar expansion</w:t>
      </w:r>
    </w:p>
    <w:p>
      <w:r>
        <w:t>This is a conditional algebraic theorem. Earlier numerical sample values for c₁ and c₂ that were inconsistent with the defining recursion are excluded from this audit.</w:t>
      </w:r>
    </w:p>
    <w:p>
      <w:pPr>
        <w:pStyle w:val="Heading1"/>
      </w:pPr>
      <w:r>
        <w:t>9. Einstein-Tile / Golden-Ratio Module</w:t>
      </w:r>
    </w:p>
    <w:p>
      <w:r>
        <w:t>The tile module is not used to derive the EABC octonion algebra. Its role is restricted to a hierarchical geometric discretization and golden-ratio scaling structure.</w:t>
      </w:r>
    </w:p>
    <w:p>
      <w:pPr>
        <w:pStyle w:val="Equation"/>
        <w:jc w:val="center"/>
      </w:pPr>
      <w:r>
        <w:t>ρ(MF)=φ,    ρ(MF²)=φ²</w:t>
      </w:r>
    </w:p>
    <w:p>
      <w:r>
        <w:t>For the adopted Hat-metatile hierarchy the linear inflation scale is recorded as</w:t>
      </w:r>
    </w:p>
    <w:p>
      <w:pPr>
        <w:pStyle w:val="Equation"/>
        <w:jc w:val="center"/>
      </w:pPr>
      <w:r>
        <w:t>s = φ²</w:t>
      </w:r>
    </w:p>
    <w:p>
      <w:r>
        <w:t>and the associated two-dimensional area progression is</w:t>
      </w:r>
    </w:p>
    <w:p>
      <w:pPr>
        <w:pStyle w:val="Equation"/>
        <w:jc w:val="center"/>
      </w:pPr>
      <w:r>
        <w:t>Aₖ/A₀ = s^(2k) = φ^(4k)</w:t>
      </w:r>
    </w:p>
    <w:p>
      <w:r>
        <w:t>Accordingly, GRGgeom = PASS within the stated Hat-metatile hierarchy. The operator statement is distinct: for a scale-invariant MERA scaling operator of dimension Δ,</w:t>
      </w:r>
    </w:p>
    <w:p>
      <w:pPr>
        <w:pStyle w:val="Equation"/>
        <w:jc w:val="center"/>
      </w:pPr>
      <w:r>
        <w:t>λΔ⁽ᵏ⁾ = s^(-kΔ) = φ^(-2kΔ)</w:t>
      </w:r>
    </w:p>
    <w:p>
      <w:pPr>
        <w:pStyle w:val="Equation"/>
        <w:jc w:val="center"/>
      </w:pPr>
      <w:r>
        <w:t>λζ⁽ᵏ⁾ = φ^(-2kφ)  for Δζ=φ</w:t>
      </w:r>
    </w:p>
    <w:p>
      <w:r>
        <w:t>This operator-level statement remains conditional on the declared scale-invariant MERA construction.</w:t>
      </w:r>
    </w:p>
    <w:p>
      <w:pPr>
        <w:pStyle w:val="Heading1"/>
      </w:pPr>
      <w:r>
        <w:t>10. Frozen OPE Spectrum Formula</w:t>
      </w:r>
    </w:p>
    <w:p>
      <w:pPr>
        <w:pStyle w:val="Equation"/>
        <w:jc w:val="center"/>
      </w:pPr>
      <w:r>
        <w:t>γₙ = 1/aₙ⁽⁰⁾ [ -(5/3) g²ₓₓ𝓏 Λφ rₙ + A₂ sₙ + λ₄ Kct cₙ ]</w:t>
      </w:r>
    </w:p>
    <w:p>
      <w:pPr>
        <w:pStyle w:val="Equation"/>
        <w:jc w:val="center"/>
      </w:pPr>
      <w:r>
        <w:t>Λφ = 4^√5 /(8π³) · [ Γ(φ)² / Γ(2φ) ]⁴</w:t>
      </w:r>
    </w:p>
    <w:p>
      <w:r>
        <w:t>The φ-exchange and Δ=2 mode dependence is algebraic over Q(√5). The contact coefficients are algebraic under the stated contact-diagram expansion. The universal Gamma normalization is isolated in mode-independent factors.</w:t>
      </w:r>
    </w:p>
    <w:p>
      <w:pPr>
        <w:pStyle w:val="Heading1"/>
      </w:pPr>
      <w:r>
        <w:t>11. Audit Boundaries and Scientific Status</w:t>
      </w:r>
    </w:p>
    <w:p>
      <w:pPr>
        <w:pStyle w:val="ListBullet"/>
      </w:pPr>
      <w:r>
        <w:t>PASS refers to the mathematical result within the explicitly declared action, propagator, block-projector, and normalization conventions.</w:t>
      </w:r>
    </w:p>
    <w:p>
      <w:pPr>
        <w:pStyle w:val="ListBullet"/>
      </w:pPr>
      <w:r>
        <w:t>The report does not establish that the full EABC construction is realized by nature, nor does it constitute experimental evidence for quantum gravity.</w:t>
      </w:r>
    </w:p>
    <w:p>
      <w:pPr>
        <w:pStyle w:val="ListBullet"/>
      </w:pPr>
      <w:r>
        <w:t>Equality of the Fibonacci quantum dimension dζ=φ and the CFT scaling dimension Δζ=φ is a model bridge, not a general theorem of category theory.</w:t>
      </w:r>
    </w:p>
    <w:p>
      <w:pPr>
        <w:pStyle w:val="ListBullet"/>
      </w:pPr>
      <w:r>
        <w:t>The Einstein/Hat tile does not intrinsically generate the Q₈ cocycle or the seven Fano lines; the EABC → Q₈ → O algebra remains a separate module.</w:t>
      </w:r>
    </w:p>
    <w:p>
      <w:pPr>
        <w:pStyle w:val="ListBullet"/>
      </w:pPr>
      <w:r>
        <w:t>No transcendence theorem for Kφ or Λφ is asserted.</w:t>
      </w:r>
    </w:p>
    <w:p>
      <w:pPr>
        <w:pStyle w:val="ListBullet"/>
      </w:pPr>
      <w:r>
        <w:t>Gct and GRGoperator remain conditional and are labeled accordingly.</w:t>
      </w:r>
    </w:p>
    <w:p>
      <w:pPr>
        <w:pStyle w:val="Heading1"/>
      </w:pPr>
      <w:r>
        <w:t>12. Frozen Audit Statement</w:t>
      </w:r>
    </w:p>
    <w:tbl>
      <w:tblPr>
        <w:tblW w:type="auto" w:w="0"/>
        <w:jc w:val="center"/>
        <w:tblLayout w:type="autofit"/>
        <w:tblLook w:firstColumn="1" w:firstRow="1" w:lastColumn="0" w:lastRow="0" w:noHBand="0" w:noVBand="1" w:val="04A0"/>
      </w:tblPr>
      <w:tblGrid>
        <w:gridCol w:w="9878"/>
      </w:tblGrid>
      <w:tr>
        <w:tc>
          <w:tcPr>
            <w:tcW w:type="dxa" w:w="9878"/>
            <w:shd w:fill="EAF2F8"/>
          </w:tcPr>
          <w:p>
            <w:r>
              <w:rPr>
                <w:b/>
                <w:sz w:val="22"/>
              </w:rPr>
              <w:t>ARCHIVE STATUS: v1.0</w:t>
              <w:br/>
            </w:r>
            <w:r>
              <w:t>The AdS₂/CFT₁ OPE-arithmetic audit is closed at the level specified in this document. Unconditional and conditional results are explicitly separated. Any future revision should increment the audit version and state which gate, convention, or model assumption changed.</w:t>
            </w:r>
          </w:p>
        </w:tc>
      </w:tr>
    </w:tbl>
    <w:p/>
    <w:sectPr w:rsidR="00FC693F" w:rsidRPr="0006063C" w:rsidSect="00034616">
      <w:footerReference w:type="default" r:id="rId9"/>
      <w:pgSz w:w="12240" w:h="15840"/>
      <w:pgMar w:top="979"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EABC - AdS₂/CFT₁ OPE Arithmetic · Final Audit v1.0 · 2026-10-02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20"/>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