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Arithmetische Defekte, Hurwitz-Strukturen</w:t>
        <w:br/>
        <w:t>und die EABC-Normalform</w:t>
      </w:r>
    </w:p>
    <w:p>
      <w:pPr>
        <w:pStyle w:val="Subtitle"/>
        <w:jc w:val="center"/>
      </w:pPr>
      <w:r>
        <w:t>Von Faktorisierung, glatten Zahlen und Restklassen</w:t>
        <w:br/>
        <w:t>bis zur formalen Vier-Säulen-Architektur</w:t>
      </w:r>
    </w:p>
    <w:p/>
    <w:p>
      <w:pPr>
        <w:pStyle w:val="FrontMatter"/>
        <w:jc w:val="center"/>
      </w:pPr>
      <w:r>
        <w:t>Ein mathematisches Lehrbuch zum Kepler–Hurwitz/EABC-Projekt</w:t>
      </w:r>
    </w:p>
    <w:p/>
    <w:p>
      <w:pPr>
        <w:pStyle w:val="FrontMatter"/>
        <w:jc w:val="center"/>
      </w:pPr>
      <w:r>
        <w:t>Band I: Grundlagen · Algebra · Geometrie · formale Physikbrücken · Lean-4-Governance</w:t>
      </w:r>
    </w:p>
    <w:p/>
    <w:p>
      <w:pPr>
        <w:pStyle w:val="FrontMatter"/>
        <w:jc w:val="center"/>
      </w:pPr>
      <w:r>
        <w:t>Arbeitsfassung, Juli 2026</w:t>
      </w:r>
    </w:p>
    <w:p/>
    <w:p>
      <w:pPr>
        <w:pStyle w:val="FrontMatter"/>
        <w:jc w:val="center"/>
      </w:pPr>
      <w:r>
        <w:t>Julian Hoffbauer · Projektarchiv AkademieOlympia/eabc-renorm</w:t>
      </w:r>
    </w:p>
    <w:p>
      <w:r>
        <w:br w:type="page"/>
      </w:r>
    </w:p>
    <w:p>
      <w:pPr>
        <w:pStyle w:val="Heading1"/>
        <w:keepNext/>
      </w:pPr>
      <w:r>
        <w:t>Hinweis zur mathematischen und epistemischen Reichweite</w:t>
      </w:r>
    </w:p>
    <w:p>
      <w:r>
        <w:t>Dieses Buch rekonstruiert die Entwicklung eines Forschungsprogramms, das arithmetische Restklassen, diskrete Defekttensoren, Renormierungsoperatoren und geometrische Strukturlesarten miteinander verbindet. Es unterscheidet konsequent zwischen vier Aussagetypen: klassischer Mathematik, im Projekt formal bewiesenen Sätzen, strukturvergleichenden Analogien und ausdrücklich ausgeschlossenen physikalischen Identifikationen.</w:t>
      </w:r>
    </w:p>
    <w:tbl>
      <w:tblPr>
        <w:tblStyle w:val="TableGrid"/>
        <w:tblW w:type="auto" w:w="0"/>
        <w:jc w:val="center"/>
        <w:tblLook w:firstColumn="1" w:firstRow="1" w:lastColumn="0" w:lastRow="0" w:noHBand="0" w:noVBand="1" w:val="04A0"/>
      </w:tblPr>
      <w:tblGrid>
        <w:gridCol w:w="3264"/>
        <w:gridCol w:w="3264"/>
        <w:gridCol w:w="3264"/>
      </w:tblGrid>
      <w:tr>
        <w:tc>
          <w:tcPr>
            <w:tcW w:type="dxa" w:w="720"/>
            <w:shd w:fill="234E70"/>
            <w:vAlign w:val="center"/>
          </w:tcPr>
          <w:p>
            <w:r>
              <w:rPr>
                <w:rFonts w:ascii="Liberation Sans" w:hAnsi="Liberation Sans"/>
                <w:b/>
                <w:color w:val="FFFFFF"/>
                <w:sz w:val="17"/>
              </w:rPr>
              <w:t>Symbol</w:t>
            </w:r>
          </w:p>
        </w:tc>
        <w:tc>
          <w:tcPr>
            <w:tcW w:type="dxa" w:w="2304"/>
            <w:shd w:fill="234E70"/>
            <w:vAlign w:val="center"/>
          </w:tcPr>
          <w:p>
            <w:r>
              <w:rPr>
                <w:rFonts w:ascii="Liberation Sans" w:hAnsi="Liberation Sans"/>
                <w:b/>
                <w:color w:val="FFFFFF"/>
                <w:sz w:val="17"/>
              </w:rPr>
              <w:t>Aussagetyp</w:t>
            </w:r>
          </w:p>
        </w:tc>
        <w:tc>
          <w:tcPr>
            <w:tcW w:type="dxa" w:w="6768"/>
            <w:shd w:fill="234E70"/>
            <w:vAlign w:val="center"/>
          </w:tcPr>
          <w:p>
            <w:r>
              <w:rPr>
                <w:rFonts w:ascii="Liberation Sans" w:hAnsi="Liberation Sans"/>
                <w:b/>
                <w:color w:val="FFFFFF"/>
                <w:sz w:val="17"/>
              </w:rPr>
              <w:t>Bedeutung</w:t>
            </w:r>
          </w:p>
        </w:tc>
      </w:tr>
      <w:tr>
        <w:tc>
          <w:tcPr>
            <w:tcW w:type="dxa" w:w="720"/>
            <w:vAlign w:val="center"/>
          </w:tcPr>
          <w:p>
            <w:pPr>
              <w:spacing w:after="30"/>
            </w:pPr>
            <w:r>
              <w:rPr>
                <w:rFonts w:ascii="Liberation Serif" w:hAnsi="Liberation Serif"/>
                <w:sz w:val="17"/>
              </w:rPr>
              <w:t>→</w:t>
            </w:r>
          </w:p>
        </w:tc>
        <w:tc>
          <w:tcPr>
            <w:tcW w:type="dxa" w:w="2304"/>
            <w:vAlign w:val="center"/>
          </w:tcPr>
          <w:p>
            <w:pPr>
              <w:spacing w:after="30"/>
            </w:pPr>
            <w:r>
              <w:rPr>
                <w:rFonts w:ascii="Liberation Serif" w:hAnsi="Liberation Serif"/>
                <w:sz w:val="17"/>
              </w:rPr>
              <w:t>Beweis / formale Abbildung</w:t>
            </w:r>
          </w:p>
        </w:tc>
        <w:tc>
          <w:tcPr>
            <w:tcW w:type="dxa" w:w="6768"/>
            <w:vAlign w:val="center"/>
          </w:tcPr>
          <w:p>
            <w:pPr>
              <w:spacing w:after="30"/>
            </w:pPr>
            <w:r>
              <w:rPr>
                <w:rFonts w:ascii="Liberation Serif" w:hAnsi="Liberation Serif"/>
                <w:sz w:val="17"/>
              </w:rPr>
              <w:t>Lean-belegte Gleichheit, Implikation oder exakt definierte Konstruktion</w:t>
            </w:r>
          </w:p>
        </w:tc>
      </w:tr>
      <w:tr>
        <w:tc>
          <w:tcPr>
            <w:tcW w:type="dxa" w:w="720"/>
            <w:vAlign w:val="center"/>
          </w:tcPr>
          <w:p>
            <w:pPr>
              <w:spacing w:after="30"/>
            </w:pPr>
            <w:r>
              <w:rPr>
                <w:rFonts w:ascii="Liberation Serif" w:hAnsi="Liberation Serif"/>
                <w:sz w:val="17"/>
              </w:rPr>
              <w:t>↝</w:t>
            </w:r>
          </w:p>
        </w:tc>
        <w:tc>
          <w:tcPr>
            <w:tcW w:type="dxa" w:w="2304"/>
            <w:vAlign w:val="center"/>
          </w:tcPr>
          <w:p>
            <w:pPr>
              <w:spacing w:after="30"/>
            </w:pPr>
            <w:r>
              <w:rPr>
                <w:rFonts w:ascii="Liberation Serif" w:hAnsi="Liberation Serif"/>
                <w:sz w:val="17"/>
              </w:rPr>
              <w:t>Strukturelle Lesart</w:t>
            </w:r>
          </w:p>
        </w:tc>
        <w:tc>
          <w:tcPr>
            <w:tcW w:type="dxa" w:w="6768"/>
            <w:vAlign w:val="center"/>
          </w:tcPr>
          <w:p>
            <w:pPr>
              <w:spacing w:after="30"/>
            </w:pPr>
            <w:r>
              <w:rPr>
                <w:rFonts w:ascii="Liberation Serif" w:hAnsi="Liberation Serif"/>
                <w:sz w:val="17"/>
              </w:rPr>
              <w:t>Analogie eines Form- oder Symmetrietyps ohne Operatoren- oder Objektidentität</w:t>
            </w:r>
          </w:p>
        </w:tc>
      </w:tr>
      <w:tr>
        <w:tc>
          <w:tcPr>
            <w:tcW w:type="dxa" w:w="720"/>
            <w:vAlign w:val="center"/>
          </w:tcPr>
          <w:p>
            <w:pPr>
              <w:spacing w:after="30"/>
            </w:pPr>
            <w:r>
              <w:rPr>
                <w:rFonts w:ascii="Liberation Serif" w:hAnsi="Liberation Serif"/>
                <w:sz w:val="17"/>
              </w:rPr>
              <w:t>⇢</w:t>
            </w:r>
          </w:p>
        </w:tc>
        <w:tc>
          <w:tcPr>
            <w:tcW w:type="dxa" w:w="2304"/>
            <w:vAlign w:val="center"/>
          </w:tcPr>
          <w:p>
            <w:pPr>
              <w:spacing w:after="30"/>
            </w:pPr>
            <w:r>
              <w:rPr>
                <w:rFonts w:ascii="Liberation Serif" w:hAnsi="Liberation Serif"/>
                <w:sz w:val="17"/>
              </w:rPr>
              <w:t>Hypothesenrichtung</w:t>
            </w:r>
          </w:p>
        </w:tc>
        <w:tc>
          <w:tcPr>
            <w:tcW w:type="dxa" w:w="6768"/>
            <w:vAlign w:val="center"/>
          </w:tcPr>
          <w:p>
            <w:pPr>
              <w:spacing w:after="30"/>
            </w:pPr>
            <w:r>
              <w:rPr>
                <w:rFonts w:ascii="Liberation Serif" w:hAnsi="Liberation Serif"/>
                <w:sz w:val="17"/>
              </w:rPr>
              <w:t>Forschungsprogramm mit offenen Brückensätzen</w:t>
            </w:r>
          </w:p>
        </w:tc>
      </w:tr>
      <w:tr>
        <w:tc>
          <w:tcPr>
            <w:tcW w:type="dxa" w:w="720"/>
            <w:vAlign w:val="center"/>
          </w:tcPr>
          <w:p>
            <w:pPr>
              <w:spacing w:after="30"/>
            </w:pPr>
            <w:r>
              <w:rPr>
                <w:rFonts w:ascii="Liberation Serif" w:hAnsi="Liberation Serif"/>
                <w:sz w:val="17"/>
              </w:rPr>
              <w:t>⊣</w:t>
            </w:r>
          </w:p>
        </w:tc>
        <w:tc>
          <w:tcPr>
            <w:tcW w:type="dxa" w:w="2304"/>
            <w:vAlign w:val="center"/>
          </w:tcPr>
          <w:p>
            <w:pPr>
              <w:spacing w:after="30"/>
            </w:pPr>
            <w:r>
              <w:rPr>
                <w:rFonts w:ascii="Liberation Serif" w:hAnsi="Liberation Serif"/>
                <w:sz w:val="17"/>
              </w:rPr>
              <w:t>Shield / Non-Claim</w:t>
            </w:r>
          </w:p>
        </w:tc>
        <w:tc>
          <w:tcPr>
            <w:tcW w:type="dxa" w:w="6768"/>
            <w:vAlign w:val="center"/>
          </w:tcPr>
          <w:p>
            <w:pPr>
              <w:spacing w:after="30"/>
            </w:pPr>
            <w:r>
              <w:rPr>
                <w:rFonts w:ascii="Liberation Serif" w:hAnsi="Liberation Serif"/>
                <w:sz w:val="17"/>
              </w:rPr>
              <w:t>Ausdrücklich ausgeschlossene Identifikation</w:t>
            </w:r>
          </w:p>
        </w:tc>
      </w:tr>
    </w:tbl>
    <w:p/>
    <w:p>
      <w:pPr>
        <w:pStyle w:val="ClaimBoundary"/>
        <w:keepNext/>
      </w:pPr>
      <w:r>
        <w:rPr>
          <w:b/>
        </w:rPr>
        <w:t xml:space="preserve">CLAIM-GRENZE: </w:t>
      </w:r>
      <w:r>
        <w:t>Weder die Gleichung Gκ = κTprime noch die Begriffe „entropische Barriere“, „oktonische Schale“, „E8-Lesart“ oder „Kepler-Bezug“ werden hier als Identifikation mit Allgemeiner Relativitätstheorie, thermodynamischer Entropie, der Oktonionenalgebra, einer realisierten E8-Physik oder einem neuen Beweis optimaler Kugelpackungen verwendet.</w:t>
      </w:r>
    </w:p>
    <w:p>
      <w:pPr>
        <w:pStyle w:val="Heading1"/>
        <w:keepNext/>
      </w:pPr>
      <w:r>
        <w:t>Vorwort</w:t>
      </w:r>
    </w:p>
    <w:p>
      <w:r>
        <w:t>Ausgangspunkt des Projekts war eine elementare Beobachtung: Zahlentheoretische Information wird häufig zuerst als Faktorisierung, Restklasse oder Primkonstellation sichtbar, während geometrische und physikalische Modelle bevorzugt mit Vektoren, Matrizen, Spektren und Energiefunktionalen arbeiten. Das zentrale methodische Problem lautet daher: Wie lässt sich arithmetische Information in eine lineare oder tensorielle Sprache überführen, ohne die semantischen Schichten zu vermischen?</w:t>
      </w:r>
    </w:p>
    <w:p>
      <w:r>
        <w:t>Die Antwort des EABC-Programms ist keine einzelne Formel, sondern eine Architektur. Sie beginnt bei glatten Zahlen und Restklassengruppen, führt über Gaußsche, Eisensteinsche und Hurwitzsche Strukturen zu einer dreikanaligen Normalform, trennt isotrope und anisotrope Anteile und formalisiert schließlich die zulässigen Brücken in Lean 4. Der Leser soll dabei nicht nur Resultate, sondern die Entstehung der Begriffe nachvollziehen.</w:t>
      </w:r>
    </w:p>
    <w:p>
      <w:r>
        <w:t>Die Darstellung folgt dem Stil eines mathematischen Lehrbuchs: Definitionen werden vor Interpretationen gestellt, Sätze vor Analogien, und jede physikalische Lesart erhält eine sichtbare Claim-Grenze. Wo das Projekt einen Satz vollständig formalisiert hat, wird dies explizit angegeben; wo nur eine Analogie oder Hypothese vorliegt, bleibt dies ebenso sichtbar.</w:t>
      </w:r>
    </w:p>
    <w:p>
      <w:pPr>
        <w:pStyle w:val="Heading1"/>
        <w:keepNext/>
      </w:pPr>
      <w:r>
        <w:t>Inhaltsübersicht</w:t>
      </w:r>
    </w:p>
    <w:p>
      <w:pPr>
        <w:pStyle w:val="ListNumber"/>
      </w:pPr>
      <w:r>
        <w:t>1. Faktorisierung, Bewertungen und glatte Hamming-Zahlen</w:t>
      </w:r>
    </w:p>
    <w:p>
      <w:pPr>
        <w:pStyle w:val="ListNumber"/>
      </w:pPr>
      <w:r>
        <w:t>2. Restklassen, Fermat-Zerlegung und die Kleinsche Vierergruppe</w:t>
      </w:r>
    </w:p>
    <w:p>
      <w:pPr>
        <w:pStyle w:val="ListNumber"/>
      </w:pPr>
      <w:r>
        <w:t>3. Gaußsche und Eisensteinsche Primzahlen</w:t>
      </w:r>
    </w:p>
    <w:p>
      <w:pPr>
        <w:pStyle w:val="ListNumber"/>
      </w:pPr>
      <w:r>
        <w:t>4. Quaternionen, Hurwitz-Ordnungen und Normmultiplikativität</w:t>
      </w:r>
    </w:p>
    <w:p>
      <w:pPr>
        <w:pStyle w:val="ListNumber"/>
      </w:pPr>
      <w:r>
        <w:t>5. Von vier Restklassen zu EABC</w:t>
      </w:r>
    </w:p>
    <w:p>
      <w:pPr>
        <w:pStyle w:val="ListNumber"/>
      </w:pPr>
      <w:r>
        <w:t>6. Der isotrop-anisotrope Split und die Normalform 24I₃ + D°</w:t>
      </w:r>
    </w:p>
    <w:p>
      <w:pPr>
        <w:pStyle w:val="ListNumber"/>
      </w:pPr>
      <w:r>
        <w:t>7. Semiprime Feinstruktur, chirurgische Energie und Intertwining</w:t>
      </w:r>
    </w:p>
    <w:p>
      <w:pPr>
        <w:pStyle w:val="ListNumber"/>
      </w:pPr>
      <w:r>
        <w:t>8. TwinRay, TripletOrbit und vollständige Kanalgeometrie</w:t>
      </w:r>
    </w:p>
    <w:p>
      <w:pPr>
        <w:pStyle w:val="ListNumber"/>
      </w:pPr>
      <w:r>
        <w:t>9. Tetraedrische und oktonische Strukturlesarten</w:t>
      </w:r>
    </w:p>
    <w:p>
      <w:pPr>
        <w:pStyle w:val="ListNumber"/>
      </w:pPr>
      <w:r>
        <w:t>10. Kepler-Packungen von R² bis R⁸</w:t>
      </w:r>
    </w:p>
    <w:p>
      <w:pPr>
        <w:pStyle w:val="ListNumber"/>
      </w:pPr>
      <w:r>
        <w:t>11. Physikalische Brücken: Aharonov–Bohm, Hall, Onsager, Casimir</w:t>
      </w:r>
    </w:p>
    <w:p>
      <w:pPr>
        <w:pStyle w:val="ListNumber"/>
      </w:pPr>
      <w:r>
        <w:t>12. Vier Säulen, Governance und Lean-4-Architektur</w:t>
      </w:r>
    </w:p>
    <w:p>
      <w:pPr>
        <w:pStyle w:val="ListNumber"/>
      </w:pPr>
      <w:r>
        <w:t>13. Entropische Barriere und nachgelagerte Forschungsprogramme</w:t>
      </w:r>
    </w:p>
    <w:p>
      <w:pPr>
        <w:pStyle w:val="ListNumber"/>
      </w:pPr>
      <w:r>
        <w:t>Anhang A. Projektchronologie und Referenzstände</w:t>
      </w:r>
    </w:p>
    <w:p>
      <w:pPr>
        <w:pStyle w:val="ListNumber"/>
      </w:pPr>
      <w:r>
        <w:t>Anhang B. Symbolverzeichnis und Theorem-Mapping</w:t>
      </w:r>
    </w:p>
    <w:p>
      <w:pPr>
        <w:pStyle w:val="ListNumber"/>
      </w:pPr>
      <w:r>
        <w:t>Literatur</w:t>
      </w:r>
    </w:p>
    <w:p>
      <w:r>
        <w:br w:type="page"/>
      </w:r>
    </w:p>
    <w:p>
      <w:pPr>
        <w:pStyle w:val="Heading1"/>
        <w:keepNext/>
      </w:pPr>
      <w:r>
        <w:t>1. Faktorisierung, Bewertungen und glatte Hamming-Zahlen</w:t>
      </w:r>
    </w:p>
    <w:p>
      <w:pPr>
        <w:pStyle w:val="Heading2"/>
        <w:keepNext/>
      </w:pPr>
      <w:r>
        <w:t>1.1 Der multiplikative Blick auf ganze Zahlen</w:t>
      </w:r>
    </w:p>
    <w:p>
      <w:r>
        <w:t>Jede positive ganze Zahl n besitzt nach dem Fundamentalsatz der Arithmetik eine bis auf Reihenfolge eindeutige Primfaktorzerlegung</w:t>
      </w:r>
    </w:p>
    <w:p>
      <w:pPr>
        <w:pStyle w:val="Equation"/>
        <w:jc w:val="center"/>
      </w:pPr>
      <w:r>
        <w:t>n = ∏ₚ p^{νₚ(n)},</w:t>
      </w:r>
    </w:p>
    <w:p>
      <w:r>
        <w:t>wobei νₚ(n) die p-adische Bewertung bezeichnet. Diese Darstellung ist zugleich diskret, lokal und additiv im Exponentenraum: νₚ(mn)=νₚ(m)+νₚ(n). Der Schritt von n zu seinem Bewertungsvektor ist die erste Modelltransformation des Projekts.</w:t>
      </w:r>
    </w:p>
    <w:p>
      <w:pPr>
        <w:pStyle w:val="Definition"/>
        <w:keepNext/>
      </w:pPr>
      <w:r>
        <w:rPr>
          <w:b/>
        </w:rPr>
        <w:t xml:space="preserve">Definition (Bewertungsprofil). </w:t>
      </w:r>
      <w:r>
        <w:t>Für eine endliche Primmenge P={p₁,…,pᵣ} heißt ν_P(n)=(ν_{p₁}(n),…,ν_{pᵣ}(n)) das P-Bewertungsprofil von n.</w:t>
      </w:r>
    </w:p>
    <w:p>
      <w:r>
        <w:t>Bewertungsprofile ersetzen multiplikative Komplexität durch additive Gittergeometrie. Die Zahl n liegt nicht mehr nur auf der Zahlengeraden, sondern als Punkt in ℕʳ.</w:t>
      </w:r>
    </w:p>
    <w:p>
      <w:pPr>
        <w:pStyle w:val="Heading2"/>
        <w:keepNext/>
      </w:pPr>
      <w:r>
        <w:t>1.2 Glatte Zahlen und Hamming-Zahlen</w:t>
      </w:r>
    </w:p>
    <w:p>
      <w:pPr>
        <w:pStyle w:val="Definition"/>
        <w:keepNext/>
      </w:pPr>
      <w:r>
        <w:rPr>
          <w:b/>
        </w:rPr>
        <w:t xml:space="preserve">Definition (y-glatt). </w:t>
      </w:r>
      <w:r>
        <w:t>Eine positive ganze Zahl n heißt y-glatt, wenn jeder Primteiler p|n die Ungleichung p≤y erfüllt.</w:t>
      </w:r>
    </w:p>
    <w:p>
      <w:pPr>
        <w:pStyle w:val="Definition"/>
        <w:keepNext/>
      </w:pPr>
      <w:r>
        <w:rPr>
          <w:b/>
        </w:rPr>
        <w:t xml:space="preserve">Definition (Hamming-Zahl). </w:t>
      </w:r>
      <w:r>
        <w:t>Eine Hamming-Zahl ist eine Zahl der Form 2ᵃ3ᵇ5ᶜ mit a,b,c∈ℕ₀.</w:t>
      </w:r>
    </w:p>
    <w:p>
      <w:r>
        <w:t>Die Hamming-Zahlen bilden ein multiplikatives Monoid. Im Exponentenraum entsprechen sie dem Gitter ℕ₀³. Der logarithmische Größenwert ist eine lineare Form:</w:t>
      </w:r>
    </w:p>
    <w:p>
      <w:pPr>
        <w:pStyle w:val="Equation"/>
        <w:jc w:val="center"/>
      </w:pPr>
      <w:r>
        <w:t>log n = a log 2 + b log 3 + c log 5.</w:t>
      </w:r>
    </w:p>
    <w:p>
      <w:r>
        <w:t>Diese lineare Einbettung erklärt, weshalb glatte Zahlen als natürliche Trainingsdomäne für Renormierungs- und Skalierungsfragen dienen: Multiplikative Schritte werden zu Translationen im Exponentengitter.</w:t>
      </w:r>
    </w:p>
    <w:p>
      <w:pPr>
        <w:pStyle w:val="Theorem"/>
        <w:keepNext/>
      </w:pPr>
      <w:r>
        <w:rPr>
          <w:b/>
        </w:rPr>
        <w:t xml:space="preserve">Proposition (Monoid-Gitter-Korrespondenz). </w:t>
      </w:r>
      <w:r>
        <w:t>Die Abbildung (a,b,c)↦2ᵃ3ᵇ5ᶜ ist ein Isomorphismus zwischen dem additiven Monoid ℕ₀³ und dem multiplikativen Monoid der Hamming-Zahlen.</w:t>
      </w:r>
    </w:p>
    <w:p>
      <w:pPr>
        <w:pStyle w:val="Proof"/>
      </w:pPr>
      <w:r>
        <w:rPr>
          <w:i/>
        </w:rPr>
        <w:t xml:space="preserve">Beweis. </w:t>
      </w:r>
      <w:r>
        <w:t>Injektivität folgt aus der Eindeutigkeit der Primfaktorzerlegung; Surjektivität ist die Definition der Hamming-Zahlen. Die Verträglichkeit mit den Operationen folgt aus 2^{a+a'}3^{b+b'}5^{c+c'}=(2ᵃ3ᵇ5ᶜ)(2^{a'}3^{b'}5^{c'}). □</w:t>
      </w:r>
    </w:p>
    <w:p>
      <w:pPr>
        <w:pStyle w:val="Heading2"/>
        <w:keepNext/>
      </w:pPr>
      <w:r>
        <w:t>1.3 Glattheit, Komplement und arithmetisches Vakuum</w:t>
      </w:r>
    </w:p>
    <w:p>
      <w:r>
        <w:t>Im EABC-Kontext spielt die Primmenge {2,3} eine besondere Rolle. Für Primzahlen p&gt;3 liegen alle zulässigen Restklassen modulo 12 in {1,5,7,11}. Das multiplikative Monoid</w:t>
      </w:r>
    </w:p>
    <w:p>
      <w:pPr>
        <w:pStyle w:val="Equation"/>
        <w:jc w:val="center"/>
      </w:pPr>
      <w:r>
        <w:t>V = {2ᵃ3ᵇ : a,b∈ℕ₀}</w:t>
      </w:r>
    </w:p>
    <w:p>
      <w:r>
        <w:t>enthält dagegen genau die Zahlen, deren Primfaktoren vollständig außerhalb der EABC-Primkanäle liegen. Es wird deshalb als arithmetisches Vakuum bezeichnet. Dies ist zunächst eine mengen- und faktorisationstheoretische Aussage, keine physikalische Vakuumidentifikation.</w:t>
      </w:r>
    </w:p>
    <w:p>
      <w:pPr>
        <w:pStyle w:val="ClaimBoundary"/>
        <w:keepNext/>
      </w:pPr>
      <w:r>
        <w:rPr>
          <w:b/>
        </w:rPr>
        <w:t xml:space="preserve">CLAIM-GRENZE: </w:t>
      </w:r>
      <w:r>
        <w:t>Das Wort „Vakuum“ bezeichnet hier den fehlenden EABC-Primträger. Es behauptet weder eine quantenfeldtheoretische Grundzustandsenergie noch eine kosmologische Vakuumenergie.</w:t>
      </w:r>
    </w:p>
    <w:p>
      <w:pPr>
        <w:pStyle w:val="Heading2"/>
        <w:keepNext/>
      </w:pPr>
      <w:r>
        <w:t>1.4 Semiprime und sphenische Zahlen</w:t>
      </w:r>
    </w:p>
    <w:p>
      <w:pPr>
        <w:pStyle w:val="Definition"/>
        <w:keepNext/>
      </w:pPr>
      <w:r>
        <w:rPr>
          <w:b/>
        </w:rPr>
        <w:t xml:space="preserve">Definition (Semiprime). </w:t>
      </w:r>
      <w:r>
        <w:t>Eine natürliche Zahl heißt semiprime, wenn sie das Produkt zweier Primzahlen ist, wobei gleiche Faktoren zugelassen sind.</w:t>
      </w:r>
    </w:p>
    <w:p>
      <w:pPr>
        <w:pStyle w:val="Definition"/>
        <w:keepNext/>
      </w:pPr>
      <w:r>
        <w:rPr>
          <w:b/>
        </w:rPr>
        <w:t xml:space="preserve">Definition (Sphenische Zahl). </w:t>
      </w:r>
      <w:r>
        <w:t>Eine natürliche Zahl heißt sphenisch, wenn sie Produkt dreier verschiedener Primzahlen ist.</w:t>
      </w:r>
    </w:p>
    <w:p>
      <w:r>
        <w:t>Diese Unterscheidung wird später wichtig: Die Semiprime-Bridge liefert eine Tensor-API; Drillingskonstellationen können diese API auf Kanalvektoren anwenden, ohne selbst semiprime zu sein.</w:t>
      </w:r>
    </w:p>
    <w:p>
      <w:pPr>
        <w:pStyle w:val="Heading1"/>
        <w:keepNext/>
      </w:pPr>
      <w:r>
        <w:t>2. Restklassen, Fermat-Zerlegung und die Kleinsche Vierergruppe</w:t>
      </w:r>
    </w:p>
    <w:p>
      <w:pPr>
        <w:pStyle w:val="Heading2"/>
        <w:keepNext/>
      </w:pPr>
      <w:r>
        <w:t>2.1 Einheitengruppe modulo 12</w:t>
      </w:r>
    </w:p>
    <w:p>
      <w:r>
        <w:t>Für jede Primzahl p&gt;3 gilt gcd(p,12)=1. Daher liegt p in der Einheitengruppe</w:t>
      </w:r>
    </w:p>
    <w:p>
      <w:pPr>
        <w:pStyle w:val="Equation"/>
        <w:jc w:val="center"/>
      </w:pPr>
      <w:r>
        <w:t>U(12) = {1,5,7,11}.</w:t>
      </w:r>
    </w:p>
    <w:p>
      <w:r>
        <w:t>Unter Multiplikation modulo 12 besitzt jedes nichttriviale Element Ordnung zwei:</w:t>
      </w:r>
    </w:p>
    <w:p>
      <w:pPr>
        <w:pStyle w:val="Equation"/>
        <w:jc w:val="center"/>
      </w:pPr>
      <w:r>
        <w:t>5² ≡ 7² ≡ 11² ≡ 1 (mod 12).</w:t>
      </w:r>
    </w:p>
    <w:p>
      <w:pPr>
        <w:pStyle w:val="Theorem"/>
        <w:keepNext/>
      </w:pPr>
      <w:r>
        <w:rPr>
          <w:b/>
        </w:rPr>
        <w:t xml:space="preserve">Satz (Kleinsche Vierergruppe). </w:t>
      </w:r>
      <w:r>
        <w:t>Die Einheitengruppe U(12) ist isomorph zur Kleinschen Vierergruppe V₄≅C₂×C₂.</w:t>
      </w:r>
    </w:p>
    <w:p>
      <w:pPr>
        <w:pStyle w:val="Proof"/>
      </w:pPr>
      <w:r>
        <w:rPr>
          <w:i/>
        </w:rPr>
        <w:t xml:space="preserve">Beweis. </w:t>
      </w:r>
      <w:r>
        <w:t>U(12) besitzt vier Elemente. Jedes von 5,7,11 ist selbstinvers; damit gibt es kein Element der Ordnung vier. Die einzige abelsche Gruppe der Ordnung vier ohne Element der Ordnung vier ist C₂×C₂. □</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shd w:fill="234E70"/>
            <w:vAlign w:val="center"/>
          </w:tcPr>
          <w:p>
            <w:r>
              <w:rPr>
                <w:rFonts w:ascii="Liberation Sans" w:hAnsi="Liberation Sans"/>
                <w:b/>
                <w:color w:val="FFFFFF"/>
                <w:sz w:val="17"/>
              </w:rPr>
              <w:t>Restklasse</w:t>
            </w:r>
          </w:p>
        </w:tc>
        <w:tc>
          <w:tcPr>
            <w:tcW w:type="dxa" w:w="1152"/>
            <w:shd w:fill="234E70"/>
            <w:vAlign w:val="center"/>
          </w:tcPr>
          <w:p>
            <w:r>
              <w:rPr>
                <w:rFonts w:ascii="Liberation Sans" w:hAnsi="Liberation Sans"/>
                <w:b/>
                <w:color w:val="FFFFFF"/>
                <w:sz w:val="17"/>
              </w:rPr>
              <w:t>EABC-Name</w:t>
            </w:r>
          </w:p>
        </w:tc>
        <w:tc>
          <w:tcPr>
            <w:tcW w:type="dxa" w:w="1440"/>
            <w:shd w:fill="234E70"/>
            <w:vAlign w:val="center"/>
          </w:tcPr>
          <w:p>
            <w:r>
              <w:rPr>
                <w:rFonts w:ascii="Liberation Sans" w:hAnsi="Liberation Sans"/>
                <w:b/>
                <w:color w:val="FFFFFF"/>
                <w:sz w:val="17"/>
              </w:rPr>
              <w:t>Vorzeichenpaar</w:t>
            </w:r>
          </w:p>
        </w:tc>
        <w:tc>
          <w:tcPr>
            <w:tcW w:type="dxa" w:w="5760"/>
            <w:shd w:fill="234E70"/>
            <w:vAlign w:val="center"/>
          </w:tcPr>
          <w:p>
            <w:r>
              <w:rPr>
                <w:rFonts w:ascii="Liberation Sans" w:hAnsi="Liberation Sans"/>
                <w:b/>
                <w:color w:val="FFFFFF"/>
                <w:sz w:val="17"/>
              </w:rPr>
              <w:t>Quadratische Eigenschaften</w:t>
            </w:r>
          </w:p>
        </w:tc>
      </w:tr>
      <w:tr>
        <w:tc>
          <w:tcPr>
            <w:tcW w:type="dxa" w:w="1440"/>
            <w:vAlign w:val="center"/>
          </w:tcPr>
          <w:p>
            <w:pPr>
              <w:spacing w:after="30"/>
            </w:pPr>
            <w:r>
              <w:rPr>
                <w:rFonts w:ascii="Liberation Serif" w:hAnsi="Liberation Serif"/>
                <w:sz w:val="17"/>
              </w:rPr>
              <w:t>1 mod 12</w:t>
            </w:r>
          </w:p>
        </w:tc>
        <w:tc>
          <w:tcPr>
            <w:tcW w:type="dxa" w:w="1152"/>
            <w:vAlign w:val="center"/>
          </w:tcPr>
          <w:p>
            <w:pPr>
              <w:spacing w:after="30"/>
            </w:pPr>
            <w:r>
              <w:rPr>
                <w:rFonts w:ascii="Liberation Serif" w:hAnsi="Liberation Serif"/>
                <w:sz w:val="17"/>
              </w:rPr>
              <w:t>E</w:t>
            </w:r>
          </w:p>
        </w:tc>
        <w:tc>
          <w:tcPr>
            <w:tcW w:type="dxa" w:w="1440"/>
            <w:vAlign w:val="center"/>
          </w:tcPr>
          <w:p>
            <w:pPr>
              <w:spacing w:after="30"/>
            </w:pPr>
            <w:r>
              <w:rPr>
                <w:rFonts w:ascii="Liberation Serif" w:hAnsi="Liberation Serif"/>
                <w:sz w:val="17"/>
              </w:rPr>
              <w:t>(+,+)</w:t>
            </w:r>
          </w:p>
        </w:tc>
        <w:tc>
          <w:tcPr>
            <w:tcW w:type="dxa" w:w="5760"/>
            <w:vAlign w:val="center"/>
          </w:tcPr>
          <w:p>
            <w:pPr>
              <w:spacing w:after="30"/>
            </w:pPr>
            <w:r>
              <w:rPr>
                <w:rFonts w:ascii="Liberation Serif" w:hAnsi="Liberation Serif"/>
                <w:sz w:val="17"/>
              </w:rPr>
              <w:t>Quadratischer Resttyp modulo 3 und 4</w:t>
            </w:r>
          </w:p>
        </w:tc>
      </w:tr>
      <w:tr>
        <w:tc>
          <w:tcPr>
            <w:tcW w:type="dxa" w:w="1440"/>
            <w:vAlign w:val="center"/>
          </w:tcPr>
          <w:p>
            <w:pPr>
              <w:spacing w:after="30"/>
            </w:pPr>
            <w:r>
              <w:rPr>
                <w:rFonts w:ascii="Liberation Serif" w:hAnsi="Liberation Serif"/>
                <w:sz w:val="17"/>
              </w:rPr>
              <w:t>5 mod 12</w:t>
            </w:r>
          </w:p>
        </w:tc>
        <w:tc>
          <w:tcPr>
            <w:tcW w:type="dxa" w:w="1152"/>
            <w:vAlign w:val="center"/>
          </w:tcPr>
          <w:p>
            <w:pPr>
              <w:spacing w:after="30"/>
            </w:pPr>
            <w:r>
              <w:rPr>
                <w:rFonts w:ascii="Liberation Serif" w:hAnsi="Liberation Serif"/>
                <w:sz w:val="17"/>
              </w:rPr>
              <w:t>A</w:t>
            </w:r>
          </w:p>
        </w:tc>
        <w:tc>
          <w:tcPr>
            <w:tcW w:type="dxa" w:w="1440"/>
            <w:vAlign w:val="center"/>
          </w:tcPr>
          <w:p>
            <w:pPr>
              <w:spacing w:after="30"/>
            </w:pPr>
            <w:r>
              <w:rPr>
                <w:rFonts w:ascii="Liberation Serif" w:hAnsi="Liberation Serif"/>
                <w:sz w:val="17"/>
              </w:rPr>
              <w:t>(−,+)</w:t>
            </w:r>
          </w:p>
        </w:tc>
        <w:tc>
          <w:tcPr>
            <w:tcW w:type="dxa" w:w="5760"/>
            <w:vAlign w:val="center"/>
          </w:tcPr>
          <w:p>
            <w:pPr>
              <w:spacing w:after="30"/>
            </w:pPr>
            <w:r>
              <w:rPr>
                <w:rFonts w:ascii="Liberation Serif" w:hAnsi="Liberation Serif"/>
                <w:sz w:val="17"/>
              </w:rPr>
              <w:t>Nichtrest modulo 3, Rest modulo 4</w:t>
            </w:r>
          </w:p>
        </w:tc>
      </w:tr>
      <w:tr>
        <w:tc>
          <w:tcPr>
            <w:tcW w:type="dxa" w:w="1440"/>
            <w:vAlign w:val="center"/>
          </w:tcPr>
          <w:p>
            <w:pPr>
              <w:spacing w:after="30"/>
            </w:pPr>
            <w:r>
              <w:rPr>
                <w:rFonts w:ascii="Liberation Serif" w:hAnsi="Liberation Serif"/>
                <w:sz w:val="17"/>
              </w:rPr>
              <w:t>7 mod 12</w:t>
            </w:r>
          </w:p>
        </w:tc>
        <w:tc>
          <w:tcPr>
            <w:tcW w:type="dxa" w:w="1152"/>
            <w:vAlign w:val="center"/>
          </w:tcPr>
          <w:p>
            <w:pPr>
              <w:spacing w:after="30"/>
            </w:pPr>
            <w:r>
              <w:rPr>
                <w:rFonts w:ascii="Liberation Serif" w:hAnsi="Liberation Serif"/>
                <w:sz w:val="17"/>
              </w:rPr>
              <w:t>B</w:t>
            </w:r>
          </w:p>
        </w:tc>
        <w:tc>
          <w:tcPr>
            <w:tcW w:type="dxa" w:w="1440"/>
            <w:vAlign w:val="center"/>
          </w:tcPr>
          <w:p>
            <w:pPr>
              <w:spacing w:after="30"/>
            </w:pPr>
            <w:r>
              <w:rPr>
                <w:rFonts w:ascii="Liberation Serif" w:hAnsi="Liberation Serif"/>
                <w:sz w:val="17"/>
              </w:rPr>
              <w:t>(+,−)</w:t>
            </w:r>
          </w:p>
        </w:tc>
        <w:tc>
          <w:tcPr>
            <w:tcW w:type="dxa" w:w="5760"/>
            <w:vAlign w:val="center"/>
          </w:tcPr>
          <w:p>
            <w:pPr>
              <w:spacing w:after="30"/>
            </w:pPr>
            <w:r>
              <w:rPr>
                <w:rFonts w:ascii="Liberation Serif" w:hAnsi="Liberation Serif"/>
                <w:sz w:val="17"/>
              </w:rPr>
              <w:t>Rest modulo 3, Nichtrest modulo 4</w:t>
            </w:r>
          </w:p>
        </w:tc>
      </w:tr>
      <w:tr>
        <w:tc>
          <w:tcPr>
            <w:tcW w:type="dxa" w:w="1440"/>
            <w:vAlign w:val="center"/>
          </w:tcPr>
          <w:p>
            <w:pPr>
              <w:spacing w:after="30"/>
            </w:pPr>
            <w:r>
              <w:rPr>
                <w:rFonts w:ascii="Liberation Serif" w:hAnsi="Liberation Serif"/>
                <w:sz w:val="17"/>
              </w:rPr>
              <w:t>11 mod 12</w:t>
            </w:r>
          </w:p>
        </w:tc>
        <w:tc>
          <w:tcPr>
            <w:tcW w:type="dxa" w:w="1152"/>
            <w:vAlign w:val="center"/>
          </w:tcPr>
          <w:p>
            <w:pPr>
              <w:spacing w:after="30"/>
            </w:pPr>
            <w:r>
              <w:rPr>
                <w:rFonts w:ascii="Liberation Serif" w:hAnsi="Liberation Serif"/>
                <w:sz w:val="17"/>
              </w:rPr>
              <w:t>C</w:t>
            </w:r>
          </w:p>
        </w:tc>
        <w:tc>
          <w:tcPr>
            <w:tcW w:type="dxa" w:w="1440"/>
            <w:vAlign w:val="center"/>
          </w:tcPr>
          <w:p>
            <w:pPr>
              <w:spacing w:after="30"/>
            </w:pPr>
            <w:r>
              <w:rPr>
                <w:rFonts w:ascii="Liberation Serif" w:hAnsi="Liberation Serif"/>
                <w:sz w:val="17"/>
              </w:rPr>
              <w:t>(−,−)</w:t>
            </w:r>
          </w:p>
        </w:tc>
        <w:tc>
          <w:tcPr>
            <w:tcW w:type="dxa" w:w="5760"/>
            <w:vAlign w:val="center"/>
          </w:tcPr>
          <w:p>
            <w:pPr>
              <w:spacing w:after="30"/>
            </w:pPr>
            <w:r>
              <w:rPr>
                <w:rFonts w:ascii="Liberation Serif" w:hAnsi="Liberation Serif"/>
                <w:sz w:val="17"/>
              </w:rPr>
              <w:t>Nichtrest modulo 3 und 4</w:t>
            </w:r>
          </w:p>
        </w:tc>
      </w:tr>
    </w:tbl>
    <w:p/>
    <w:p>
      <w:pPr>
        <w:pStyle w:val="Heading2"/>
        <w:keepNext/>
      </w:pPr>
      <w:r>
        <w:t>2.2 Fermats Zwei-Quadrate-Satz</w:t>
      </w:r>
    </w:p>
    <w:p>
      <w:pPr>
        <w:pStyle w:val="Theorem"/>
        <w:keepNext/>
      </w:pPr>
      <w:r>
        <w:rPr>
          <w:b/>
        </w:rPr>
        <w:t xml:space="preserve">Satz (Fermat–Euler). </w:t>
      </w:r>
      <w:r>
        <w:t>Eine ungerade Primzahl p ist genau dann als Summe zweier Quadrate darstellbar, p=x²+y², wenn p≡1 (mod 4).</w:t>
      </w:r>
    </w:p>
    <w:p>
      <w:r>
        <w:t>Damit zerfällt die Menge der Primzahlen p&gt;2 zunächst in die beiden Fermat-Klassen p≡1 mod 4 und p≡3 mod 4. Die Verfeinerung modulo 12 kreuzt diese Zweiteilung mit der Zerlegung modulo 3 und erzeugt die vier EABC-Klassen.</w:t>
      </w:r>
    </w:p>
    <w:p>
      <w:pPr>
        <w:pStyle w:val="Heading2"/>
        <w:keepNext/>
      </w:pPr>
      <w:r>
        <w:t>2.3 Charakterkodierung</w:t>
      </w:r>
    </w:p>
    <w:p>
      <w:r>
        <w:t>Die vier Restklassen lassen sich durch zwei reelle Dirichlet-Charaktere kodieren. Man kann beispielsweise die Vorzeichen</w:t>
      </w:r>
    </w:p>
    <w:p>
      <w:pPr>
        <w:pStyle w:val="Equation"/>
        <w:jc w:val="center"/>
      </w:pPr>
      <w:r>
        <w:t>χ₄(p) ∈ {±1},   χ₃(p) ∈ {±1}</w:t>
      </w:r>
    </w:p>
    <w:p>
      <w:r>
        <w:t>verwenden. Die Abbildung</w:t>
      </w:r>
    </w:p>
    <w:p>
      <w:pPr>
        <w:pStyle w:val="Equation"/>
        <w:jc w:val="center"/>
      </w:pPr>
      <w:r>
        <w:t>p mod 12 ↦ (χ₃(p),χ₄(p))</w:t>
      </w:r>
    </w:p>
    <w:p>
      <w:r>
        <w:t>ist ein Gruppenisomorphismus U(12)→{±1}². Diese Darstellung liefert die erste natürliche Einbettung in eine zweiachsige Vorzeichenstruktur und motiviert spätere Quaternionen- und Tetraederlesarten.</w:t>
      </w:r>
    </w:p>
    <w:p>
      <w:pPr>
        <w:pStyle w:val="Heading2"/>
        <w:keepNext/>
      </w:pPr>
      <w:r>
        <w:t>2.4 E- und A-Zerlegung</w:t>
      </w:r>
    </w:p>
    <w:p>
      <w:r>
        <w:t>Historisch entstand die EABC-Nomenklatur aus einer zunächst gröberen E/A-Zerlegung: E bezeichnete einen neutralen oder quadratisch kompatiblen Kanal, A einen komplementären arithmetischen Kanal. Die weitere Aufspaltung durch das zweite Charaktervorzeichen erzeugte B und C. Formal ist entscheidend, dass die Namen keine neuen Restklassen erzeugen, sondern die vier Elemente von U(12) strukturieren.</w:t>
      </w:r>
    </w:p>
    <w:p>
      <w:pPr>
        <w:pStyle w:val="Heading1"/>
        <w:keepNext/>
      </w:pPr>
      <w:r>
        <w:t>3. Gaußsche und Eisensteinsche Primzahlen</w:t>
      </w:r>
    </w:p>
    <w:p>
      <w:pPr>
        <w:pStyle w:val="Heading2"/>
        <w:keepNext/>
      </w:pPr>
      <w:r>
        <w:t>3.1 Gaußsche ganze Zahlen</w:t>
      </w:r>
    </w:p>
    <w:p>
      <w:pPr>
        <w:pStyle w:val="Definition"/>
        <w:keepNext/>
      </w:pPr>
      <w:r>
        <w:rPr>
          <w:b/>
        </w:rPr>
        <w:t xml:space="preserve">Definition (Gaußsche ganze Zahlen). </w:t>
      </w:r>
      <w:r>
        <w:t>ℤ[i]={a+bi:a,b∈ℤ} mit Norm N(a+bi)=a²+b².</w:t>
      </w:r>
    </w:p>
    <w:p>
      <w:r>
        <w:t>Die Norm ist multiplikativ. Rationale Primzahlen p verhalten sich in ℤ[i] gemäß ihrer Restklasse modulo 4:</w:t>
      </w:r>
    </w:p>
    <w:tbl>
      <w:tblPr>
        <w:tblStyle w:val="TableGrid"/>
        <w:tblW w:type="auto" w:w="0"/>
        <w:jc w:val="center"/>
        <w:tblLook w:firstColumn="1" w:firstRow="1" w:lastColumn="0" w:lastRow="0" w:noHBand="0" w:noVBand="1" w:val="04A0"/>
      </w:tblPr>
      <w:tblGrid>
        <w:gridCol w:w="4896"/>
        <w:gridCol w:w="4896"/>
      </w:tblGrid>
      <w:tr>
        <w:tc>
          <w:tcPr>
            <w:tcW w:type="dxa" w:w="4896"/>
            <w:shd w:fill="234E70"/>
            <w:vAlign w:val="center"/>
          </w:tcPr>
          <w:p>
            <w:r>
              <w:rPr>
                <w:rFonts w:ascii="Liberation Sans" w:hAnsi="Liberation Sans"/>
                <w:b/>
                <w:color w:val="FFFFFF"/>
                <w:sz w:val="17"/>
              </w:rPr>
              <w:t>Rationale Primzahl</w:t>
            </w:r>
          </w:p>
        </w:tc>
        <w:tc>
          <w:tcPr>
            <w:tcW w:type="dxa" w:w="4896"/>
            <w:shd w:fill="234E70"/>
            <w:vAlign w:val="center"/>
          </w:tcPr>
          <w:p>
            <w:r>
              <w:rPr>
                <w:rFonts w:ascii="Liberation Sans" w:hAnsi="Liberation Sans"/>
                <w:b/>
                <w:color w:val="FFFFFF"/>
                <w:sz w:val="17"/>
              </w:rPr>
              <w:t>Verhalten in ℤ[i]</w:t>
            </w:r>
          </w:p>
        </w:tc>
      </w:tr>
      <w:tr>
        <w:tc>
          <w:tcPr>
            <w:tcW w:type="dxa" w:w="4896"/>
            <w:vAlign w:val="center"/>
          </w:tcPr>
          <w:p>
            <w:pPr>
              <w:spacing w:after="30"/>
            </w:pPr>
            <w:r>
              <w:rPr>
                <w:rFonts w:ascii="Liberation Serif" w:hAnsi="Liberation Serif"/>
                <w:sz w:val="17"/>
              </w:rPr>
              <w:t>p=2</w:t>
            </w:r>
          </w:p>
        </w:tc>
        <w:tc>
          <w:tcPr>
            <w:tcW w:type="dxa" w:w="4896"/>
            <w:vAlign w:val="center"/>
          </w:tcPr>
          <w:p>
            <w:pPr>
              <w:spacing w:after="30"/>
            </w:pPr>
            <w:r>
              <w:rPr>
                <w:rFonts w:ascii="Liberation Serif" w:hAnsi="Liberation Serif"/>
                <w:sz w:val="17"/>
              </w:rPr>
              <w:t>verzweigt: 2=−i(1+i)²</w:t>
            </w:r>
          </w:p>
        </w:tc>
      </w:tr>
      <w:tr>
        <w:tc>
          <w:tcPr>
            <w:tcW w:type="dxa" w:w="4896"/>
            <w:vAlign w:val="center"/>
          </w:tcPr>
          <w:p>
            <w:pPr>
              <w:spacing w:after="30"/>
            </w:pPr>
            <w:r>
              <w:rPr>
                <w:rFonts w:ascii="Liberation Serif" w:hAnsi="Liberation Serif"/>
                <w:sz w:val="17"/>
              </w:rPr>
              <w:t>p≡1 mod 4</w:t>
            </w:r>
          </w:p>
        </w:tc>
        <w:tc>
          <w:tcPr>
            <w:tcW w:type="dxa" w:w="4896"/>
            <w:vAlign w:val="center"/>
          </w:tcPr>
          <w:p>
            <w:pPr>
              <w:spacing w:after="30"/>
            </w:pPr>
            <w:r>
              <w:rPr>
                <w:rFonts w:ascii="Liberation Serif" w:hAnsi="Liberation Serif"/>
                <w:sz w:val="17"/>
              </w:rPr>
              <w:t>zerfällt in konjugierte Gaußsche Primfaktoren</w:t>
            </w:r>
          </w:p>
        </w:tc>
      </w:tr>
      <w:tr>
        <w:tc>
          <w:tcPr>
            <w:tcW w:type="dxa" w:w="4896"/>
            <w:vAlign w:val="center"/>
          </w:tcPr>
          <w:p>
            <w:pPr>
              <w:spacing w:after="30"/>
            </w:pPr>
            <w:r>
              <w:rPr>
                <w:rFonts w:ascii="Liberation Serif" w:hAnsi="Liberation Serif"/>
                <w:sz w:val="17"/>
              </w:rPr>
              <w:t>p≡3 mod 4</w:t>
            </w:r>
          </w:p>
        </w:tc>
        <w:tc>
          <w:tcPr>
            <w:tcW w:type="dxa" w:w="4896"/>
            <w:vAlign w:val="center"/>
          </w:tcPr>
          <w:p>
            <w:pPr>
              <w:spacing w:after="30"/>
            </w:pPr>
            <w:r>
              <w:rPr>
                <w:rFonts w:ascii="Liberation Serif" w:hAnsi="Liberation Serif"/>
                <w:sz w:val="17"/>
              </w:rPr>
              <w:t>bleibt prim</w:t>
            </w:r>
          </w:p>
        </w:tc>
      </w:tr>
    </w:tbl>
    <w:p/>
    <w:p>
      <w:r>
        <w:t>Die Fermat-Zerlegung ist somit nicht nur eine Darstellungsaussage, sondern ein Zerlegungsverhalten in einer quadratischen Ganzheitsordnung.</w:t>
      </w:r>
    </w:p>
    <w:p>
      <w:pPr>
        <w:pStyle w:val="Heading2"/>
        <w:keepNext/>
      </w:pPr>
      <w:r>
        <w:t>3.2 Eisensteinsche ganze Zahlen</w:t>
      </w:r>
    </w:p>
    <w:p>
      <w:pPr>
        <w:pStyle w:val="Definition"/>
        <w:keepNext/>
      </w:pPr>
      <w:r>
        <w:rPr>
          <w:b/>
        </w:rPr>
        <w:t xml:space="preserve">Definition (Eisensteinsche ganze Zahlen). </w:t>
      </w:r>
      <w:r>
        <w:t>ℤ[ω]={a+bω:a,b∈ℤ}, wobei ω²+ω+1=0. Die Norm lautet N(a+bω)=a²−ab+b².</w:t>
      </w:r>
    </w:p>
    <w:p>
      <w:r>
        <w:t>Rationale Primzahlen p≠3 zerfallen in ℤ[ω] genau dann, wenn p≡1 mod 3; Primzahlen p≡2 mod 3 bleiben inert. Die Kombination von Gauß- und Eisenstein-Verhalten liefert genau die zwei Vorzeichenachsen der Einheitengruppe modulo 12.</w:t>
      </w:r>
    </w:p>
    <w:p>
      <w:pPr>
        <w:pStyle w:val="Theorem"/>
        <w:keepNext/>
      </w:pPr>
      <w:r>
        <w:rPr>
          <w:b/>
        </w:rPr>
        <w:t xml:space="preserve">Proposition (Doppelte Splitting-Kodierung). </w:t>
      </w:r>
      <w:r>
        <w:t>Für p&gt;3 bestimmt das Paar aus Zerlegungsverhalten in ℤ[i] und ℤ[ω] eindeutig die Restklasse p mod 12.</w:t>
      </w:r>
    </w:p>
    <w:p>
      <w:pPr>
        <w:pStyle w:val="Proof"/>
      </w:pPr>
      <w:r>
        <w:rPr>
          <w:i/>
        </w:rPr>
        <w:t xml:space="preserve">Beweis. </w:t>
      </w:r>
      <w:r>
        <w:t>Das Verhalten in ℤ[i] bestimmt p mod 4, das Verhalten in ℤ[ω] bestimmt p mod 3. Der chinesische Restsatz kombiniert beide Angaben eindeutig modulo 12. □</w:t>
      </w:r>
    </w:p>
    <w:p>
      <w:pPr>
        <w:pStyle w:val="Heading2"/>
        <w:keepNext/>
      </w:pPr>
      <w:r>
        <w:t>3.3 Arithmetische Geometrie der vier Klassen</w:t>
      </w:r>
    </w:p>
    <w:p>
      <w:r>
        <w:t>Die vier EABC-Klassen können daher als vier Kombinationen zweier Splitting-Entscheidungen gelesen werden. Dies liefert eine algebraisch begründete Viererstruktur, ohne bereits Quaternionen oder Tetraeder vorauszusetzen.</w:t>
      </w:r>
    </w:p>
    <w:p>
      <w:pPr>
        <w:pStyle w:val="ClaimBoundary"/>
        <w:keepNext/>
      </w:pPr>
      <w:r>
        <w:rPr>
          <w:b/>
        </w:rPr>
        <w:t xml:space="preserve">CLAIM-GRENZE: </w:t>
      </w:r>
      <w:r>
        <w:t>Die Gauß-/Eisenstein-Zerlegung erklärt die Viererklassifikation. Sie beweist noch keine physikalische Vierkanalstruktur und keine E8- oder Oktonionenidentifikation.</w:t>
      </w:r>
    </w:p>
    <w:p>
      <w:pPr>
        <w:pStyle w:val="Heading1"/>
        <w:keepNext/>
      </w:pPr>
      <w:r>
        <w:t>4. Quaternionen, Hurwitz-Ordnungen und Normmultiplikativität</w:t>
      </w:r>
    </w:p>
    <w:p>
      <w:pPr>
        <w:pStyle w:val="Heading2"/>
        <w:keepNext/>
      </w:pPr>
      <w:r>
        <w:t>4.1 Hamiltonsche Quaternionen</w:t>
      </w:r>
    </w:p>
    <w:p>
      <w:pPr>
        <w:pStyle w:val="Definition"/>
        <w:keepNext/>
      </w:pPr>
      <w:r>
        <w:rPr>
          <w:b/>
        </w:rPr>
        <w:t xml:space="preserve">Definition (Quaternionenalgebra). </w:t>
      </w:r>
      <w:r>
        <w:t>ℍ={a+bi+cj+dk:a,b,c,d∈ℝ} mit i²=j²=k²=ijk=−1.</w:t>
      </w:r>
    </w:p>
    <w:p>
      <w:r>
        <w:t>Die Quaternionennorm</w:t>
      </w:r>
    </w:p>
    <w:p>
      <w:pPr>
        <w:pStyle w:val="Equation"/>
        <w:jc w:val="center"/>
      </w:pPr>
      <w:r>
        <w:t>N(q)=a²+b²+c²+d²</w:t>
      </w:r>
    </w:p>
    <w:p>
      <w:r>
        <w:t>ist multiplikativ. Damit entsteht eine natürliche Verbindung zwischen Faktorisierung, Vier-Quadrate-Darstellungen und Drehungen in drei Dimensionen.</w:t>
      </w:r>
    </w:p>
    <w:p>
      <w:pPr>
        <w:pStyle w:val="Heading2"/>
        <w:keepNext/>
      </w:pPr>
      <w:r>
        <w:t>4.2 Lipschitz- und Hurwitz-Quaternionen</w:t>
      </w:r>
    </w:p>
    <w:p>
      <w:pPr>
        <w:pStyle w:val="Definition"/>
        <w:keepNext/>
      </w:pPr>
      <w:r>
        <w:rPr>
          <w:b/>
        </w:rPr>
        <w:t xml:space="preserve">Definition (Hurwitz-Ordnung). </w:t>
      </w:r>
      <w:r>
        <w:t>Die Hurwitz-Quaternionen bestehen aus Quaternionen, deren vier Koordinaten entweder sämtlich ganzzahlig oder sämtlich halbzahlig mit gleicher Parität sind.</w:t>
      </w:r>
    </w:p>
    <w:p>
      <w:r>
        <w:t>Die Hurwitz-Ordnung ist eine maximale Ordnung in ℍ und besitzt eine euklidische Normstruktur. Ihre Einheitengruppe hat 24 Elemente. Diese Zahl 24 ist historisch und geometrisch bedeutsam; im EABC-Modell wird die Zahl 24 jedoch zusätzlich und unabhängig über Familengewichte und Spurzwang formal erzwungen.</w:t>
      </w:r>
    </w:p>
    <w:p>
      <w:pPr>
        <w:pStyle w:val="Heading2"/>
        <w:keepNext/>
      </w:pPr>
      <w:r>
        <w:t>4.3 Die Kleinsche Vierergruppe in ℍ</w:t>
      </w:r>
    </w:p>
    <w:p>
      <w:r>
        <w:t>Die Untermenge {±1,±i} bildet keine Kleinsche Vierergruppe, wohl aber der Quotient geeigneter Quaternioneneinheiten nach dem Zentrum {±1}. Alternativ kann V₄ als Gruppe der 180°-Drehungen um drei orthogonale Achsen in SO(3) realisiert werden. Die Quaternionen liefern deren Doppelüberlagerung in SU(2).</w:t>
      </w:r>
    </w:p>
    <w:p>
      <w:r>
        <w:t>Für das Projekt ist diese Einbettung eine Formbrücke: Die vier Restklassen tragen eine V₄-Struktur; Quaternionen stellen V₄-Drehungen geometrisch dar. Daraus folgt keine Identität zwischen Restklassen und Quaternioneneinheiten.</w:t>
      </w:r>
    </w:p>
    <w:p>
      <w:pPr>
        <w:pStyle w:val="Heading2"/>
        <w:keepNext/>
      </w:pPr>
      <w:r>
        <w:t>4.4 Hurwitz, Lagrange und Vier-Quadrate</w:t>
      </w:r>
    </w:p>
    <w:p>
      <w:pPr>
        <w:pStyle w:val="Theorem"/>
        <w:keepNext/>
      </w:pPr>
      <w:r>
        <w:rPr>
          <w:b/>
        </w:rPr>
        <w:t xml:space="preserve">Satz (Lagrange). </w:t>
      </w:r>
      <w:r>
        <w:t>Jede natürliche Zahl ist Summe von vier Quadraten.</w:t>
      </w:r>
    </w:p>
    <w:p>
      <w:r>
        <w:t>Die Quaternionenmultiplikation liefert eine konzeptionelle Erklärung der Identität, dass das Produkt zweier Summen von vier Quadraten wieder eine Summe von vier Quadraten ist. Im Projekt bildet dies den historischen Übergang von Faktorisierung zu normierten Mehrkanalstrukturen.</w:t>
      </w:r>
    </w:p>
    <w:p>
      <w:pPr>
        <w:pStyle w:val="Heading1"/>
        <w:keepNext/>
      </w:pPr>
      <w:r>
        <w:t>5. Von vier Restklassen zu EABC</w:t>
      </w:r>
    </w:p>
    <w:p>
      <w:pPr>
        <w:pStyle w:val="Heading2"/>
        <w:keepNext/>
      </w:pPr>
      <w:r>
        <w:t>5.1 Kanalnamen und Trägervektoren</w:t>
      </w:r>
    </w:p>
    <w:p>
      <w:r>
        <w:t>Die Klassen werden fest benannt:</w:t>
      </w:r>
    </w:p>
    <w:p>
      <w:pPr>
        <w:pStyle w:val="Equation"/>
        <w:jc w:val="center"/>
      </w:pPr>
      <w:r>
        <w:t>A≡5,  B≡7,  C≡11,  E≡1  (mod 12).</w:t>
      </w:r>
    </w:p>
    <w:p>
      <w:r>
        <w:t>Konstellationen werden auf einen dreidimensionalen Kanalvektor q=(a,b,c) abgebildet. Die E-Komponente fungiert dabei je nach Kontext als Komplement-, Neutral- oder Abschlussklasse. Entscheidend ist, dass q kein Primzahlwert, sondern ein abgeleiteter Kanalzustand ist.</w:t>
      </w:r>
    </w:p>
    <w:p>
      <w:pPr>
        <w:pStyle w:val="Heading2"/>
        <w:keepNext/>
      </w:pPr>
      <w:r>
        <w:t>5.2 Primvierlinge und C₄-Rotation</w:t>
      </w:r>
    </w:p>
    <w:p>
      <w:r>
        <w:t>Für Primvierlinge mit Mustern (11,1,5,7) beziehungsweise (5,7,11,1) erscheint eine zyklische Ordnung der vier Restklassen. Die formale C₄-Lesart kodiert die Rotation der Klassenfolge; sie ist von der späteren C₃-Rotation im anisotropen Dreikanalraum zu trennen.</w:t>
      </w:r>
    </w:p>
    <w:p>
      <w:pPr>
        <w:pStyle w:val="Heading2"/>
        <w:keepNext/>
      </w:pPr>
      <w:r>
        <w:t>5.3 Primdrillinge und binäre Kanalzustände</w:t>
      </w:r>
    </w:p>
    <w:p>
      <w:r>
        <w:t>Für Primdrillinge entstehen die vier Zustände</w:t>
      </w:r>
    </w:p>
    <w:p>
      <w:pPr>
        <w:pStyle w:val="Equation"/>
        <w:jc w:val="center"/>
      </w:pPr>
      <w:r>
        <w:t>(1,1,1),  (1,1,0),  (0,1,1),  (1,0,1).</w:t>
      </w:r>
    </w:p>
    <w:p>
      <w:r>
        <w:t>Sie zerfallen in einen isotropen Fixpunkt und einen anisotropen C₃-Orbit. Diese Zerlegung wird in Kapitel 8 als Zertifikatsfamilie formal ausgewertet.</w:t>
      </w:r>
    </w:p>
    <w:p>
      <w:pPr>
        <w:pStyle w:val="Heading2"/>
        <w:keepNext/>
      </w:pPr>
      <w:r>
        <w:t>5.4 Primdefekt als Quelle</w:t>
      </w:r>
    </w:p>
    <w:p>
      <w:r>
        <w:t>Die Klasse eines Primdefekts kann mit einem Gewicht wₚ versehen und als diagonaler Quellterm Tprime auf den diskreten Träger gehoben werden. Der Projektstand beweist</w:t>
      </w:r>
    </w:p>
    <w:p>
      <w:pPr>
        <w:pStyle w:val="Equation"/>
        <w:jc w:val="center"/>
      </w:pPr>
      <w:r>
        <w:t>Gκ(K)=κ Tprime(K),</w:t>
      </w:r>
    </w:p>
    <w:p>
      <w:pPr>
        <w:pStyle w:val="Equation"/>
        <w:jc w:val="center"/>
      </w:pPr>
      <w:r>
        <w:t>Tprime(K)=0 ⇔ PrimeSourceFree(K),</w:t>
      </w:r>
    </w:p>
    <w:p>
      <w:pPr>
        <w:pStyle w:val="Equation"/>
        <w:jc w:val="center"/>
      </w:pPr>
      <w:r>
        <w:t>Tprime(R* K)=Gκ(R* K)=0.</w:t>
      </w:r>
    </w:p>
    <w:p>
      <w:pPr>
        <w:pStyle w:val="ClaimBoundary"/>
        <w:keepNext/>
      </w:pPr>
      <w:r>
        <w:rPr>
          <w:b/>
        </w:rPr>
        <w:t xml:space="preserve">CLAIM-GRENZE: </w:t>
      </w:r>
      <w:r>
        <w:t>Tprime ist ein diskreter arithmetischer Quellterm. Er wird weder mit einem physikalischen Energie-Impuls-Tensor noch mit dem spurfreien Defekt D_E° identifiziert.</w:t>
      </w:r>
    </w:p>
    <w:p>
      <w:pPr>
        <w:pStyle w:val="Heading1"/>
        <w:keepNext/>
      </w:pPr>
      <w:r>
        <w:t>6. Der isotrop-anisotrope Split und die Normalform</w:t>
      </w:r>
    </w:p>
    <w:p>
      <w:pPr>
        <w:pStyle w:val="Heading2"/>
        <w:keepNext/>
      </w:pPr>
      <w:r>
        <w:t>6.1 Mittelwert und Projektor</w:t>
      </w:r>
    </w:p>
    <w:p>
      <w:pPr>
        <w:pStyle w:val="Definition"/>
        <w:keepNext/>
      </w:pPr>
      <w:r>
        <w:rPr>
          <w:b/>
        </w:rPr>
        <w:t xml:space="preserve">Definition (Kanalmittel). </w:t>
      </w:r>
      <w:r>
        <w:t>Für q=(q₁,q₂,q₃)∈ℝ³ sei q̄=(q₁+q₂+q₃)/3.</w:t>
      </w:r>
    </w:p>
    <w:p>
      <w:pPr>
        <w:pStyle w:val="Definition"/>
        <w:keepNext/>
      </w:pPr>
      <w:r>
        <w:rPr>
          <w:b/>
        </w:rPr>
        <w:t xml:space="preserve">Definition (Anisotroper Projektor). </w:t>
      </w:r>
      <w:r>
        <w:t>P_aniso(q)=q−q̄(1,1,1).</w:t>
      </w:r>
    </w:p>
    <w:p>
      <w:pPr>
        <w:pStyle w:val="Theorem"/>
        <w:keepNext/>
      </w:pPr>
      <w:r>
        <w:rPr>
          <w:b/>
        </w:rPr>
        <w:t xml:space="preserve">Proposition (Projektoreigenschaften). </w:t>
      </w:r>
      <w:r>
        <w:t>P_aniso ist linear, idempotent und hat Kern ℝ(1,1,1). Sein Bild ist A₂^ℝ={x∈ℝ³:x₁+x₂+x₃=0}.</w:t>
      </w:r>
    </w:p>
    <w:p>
      <w:pPr>
        <w:pStyle w:val="Proof"/>
      </w:pPr>
      <w:r>
        <w:rPr>
          <w:i/>
        </w:rPr>
        <w:t xml:space="preserve">Beweis. </w:t>
      </w:r>
      <w:r>
        <w:t>Die Summe der Komponenten von P_aniso(q) ist null. Für x mit Komponentensumme null gilt x̄=0 und P_aniso(x)=x. Daraus folgen Bild, Kern und Idempotenz. □</w:t>
      </w:r>
    </w:p>
    <w:p>
      <w:pPr>
        <w:pStyle w:val="Heading2"/>
        <w:keepNext/>
      </w:pPr>
      <w:r>
        <w:t>6.2 Spurloser Defekttensor</w:t>
      </w:r>
    </w:p>
    <w:p>
      <w:pPr>
        <w:pStyle w:val="Definition"/>
        <w:keepNext/>
      </w:pPr>
      <w:r>
        <w:rPr>
          <w:b/>
        </w:rPr>
        <w:t xml:space="preserve">Definition (Defekttensor). </w:t>
      </w:r>
      <w:r>
        <w:t>D_E°(q)=diag(P_aniso(q)).</w:t>
      </w:r>
    </w:p>
    <w:p>
      <w:pPr>
        <w:pStyle w:val="Theorem"/>
        <w:keepNext/>
      </w:pPr>
      <w:r>
        <w:rPr>
          <w:b/>
        </w:rPr>
        <w:t xml:space="preserve">Satz (Spurfreiheit). </w:t>
      </w:r>
      <w:r>
        <w:t>Für alle q∈ℝ³ gilt tr(D_E°(q))=0.</w:t>
      </w:r>
    </w:p>
    <w:p>
      <w:pPr>
        <w:pStyle w:val="Proof"/>
      </w:pPr>
      <w:r>
        <w:rPr>
          <w:i/>
        </w:rPr>
        <w:t xml:space="preserve">Beweis. </w:t>
      </w:r>
      <w:r>
        <w:t>Die Spur einer Diagonalmatrix ist die Summe ihrer Diagonaleinträge. Diese ist per Definition von P_aniso null. □</w:t>
      </w:r>
    </w:p>
    <w:p>
      <w:pPr>
        <w:pStyle w:val="Heading2"/>
        <w:keepNext/>
      </w:pPr>
      <w:r>
        <w:t>6.3 Die Normalform</w:t>
      </w:r>
    </w:p>
    <w:p>
      <w:pPr>
        <w:pStyle w:val="Definition"/>
        <w:keepNext/>
      </w:pPr>
      <w:r>
        <w:rPr>
          <w:b/>
        </w:rPr>
        <w:t xml:space="preserve">Definition (Effektive Normalform). </w:t>
      </w:r>
      <w:r>
        <w:t>M_eff,cand(q)=cI₃+D_E°(q).</w:t>
      </w:r>
    </w:p>
    <w:p>
      <w:pPr>
        <w:pStyle w:val="Theorem"/>
        <w:keepNext/>
      </w:pPr>
      <w:r>
        <w:rPr>
          <w:b/>
        </w:rPr>
        <w:t xml:space="preserve">Satz (Allgemeiner Spurzwang). </w:t>
      </w:r>
      <w:r>
        <w:t>Sei D eine n×n-Matrix mit tr D=0. Aus tr(cIₙ+D)=T folgt c=T/n.</w:t>
      </w:r>
    </w:p>
    <w:p>
      <w:pPr>
        <w:pStyle w:val="Proof"/>
      </w:pPr>
      <w:r>
        <w:rPr>
          <w:i/>
        </w:rPr>
        <w:t xml:space="preserve">Beweis. </w:t>
      </w:r>
      <w:r>
        <w:t>tr(cIₙ+D)=cn+tr D=cn. Also cn=T und c=T/n. □</w:t>
      </w:r>
    </w:p>
    <w:p>
      <w:pPr>
        <w:pStyle w:val="Theorem"/>
        <w:keepNext/>
      </w:pPr>
      <w:r>
        <w:rPr>
          <w:b/>
        </w:rPr>
        <w:t xml:space="preserve">Satz (EABC-Normalform). </w:t>
      </w:r>
      <w:r>
        <w:t>Für n=3 und T=72 ist c=24 eindeutig. Daher M_eff,cand(q)=24I₃+D_E°(q).</w:t>
      </w:r>
    </w:p>
    <w:p>
      <w:r>
        <w:t>Damit ist 24I₃ nicht als frei gewählter Parameter, sondern relativ zur Spurvorgabe 72 und der Spurfreiheit des Defekts algebraisch erzwungen.</w:t>
      </w:r>
    </w:p>
    <w:p>
      <w:pPr>
        <w:pStyle w:val="Heading2"/>
        <w:keepNext/>
      </w:pPr>
      <w:r>
        <w:t>6.4 Orthogonale Zerlegung</w:t>
      </w:r>
    </w:p>
    <w:p>
      <w:r>
        <w:t>Im Frobenius-Skalarprodukt ⟨A,B⟩=tr(AᵀB) gilt</w:t>
      </w:r>
    </w:p>
    <w:p>
      <w:pPr>
        <w:pStyle w:val="Equation"/>
        <w:jc w:val="center"/>
      </w:pPr>
      <w:r>
        <w:t>⟨cI₃,D_E°(q)⟩ = c tr(D_E°(q)) = 0.</w:t>
      </w:r>
    </w:p>
    <w:p>
      <w:r>
        <w:t>Die Normalform ist daher eine orthogonale Summe aus isotropem Hintergrund und anisotropem Defekt.</w:t>
      </w:r>
    </w:p>
    <w:p>
      <w:pPr>
        <w:pStyle w:val="Heading2"/>
        <w:keepNext/>
      </w:pPr>
      <w:r>
        <w:t>6.5 Chirurgie</w:t>
      </w:r>
    </w:p>
    <w:p>
      <w:r>
        <w:t>Die affine Chirurgie 𝒮 fixiert den isotropen Kern und projiziert den Rest auf den anisotropen Unterraum. Formal ist 𝒮 idempotent:</w:t>
      </w:r>
    </w:p>
    <w:p>
      <w:pPr>
        <w:pStyle w:val="Equation"/>
        <w:jc w:val="center"/>
      </w:pPr>
      <w:r>
        <w:t>𝒮²=𝒮.</w:t>
      </w:r>
    </w:p>
    <w:p>
      <w:r>
        <w:t>Der Bildraum ist die affine Ebene 24I₃+im(P_aniso).</w:t>
      </w:r>
    </w:p>
    <w:p>
      <w:pPr>
        <w:pStyle w:val="Heading1"/>
        <w:keepNext/>
      </w:pPr>
      <w:r>
        <w:t>7. Semiprime Feinstruktur, chirurgische Energie und Intertwining</w:t>
      </w:r>
    </w:p>
    <w:p>
      <w:pPr>
        <w:pStyle w:val="Heading2"/>
        <w:keepNext/>
      </w:pPr>
      <w:r>
        <w:t>7.1 Chirurgische Energie</w:t>
      </w:r>
    </w:p>
    <w:p>
      <w:pPr>
        <w:pStyle w:val="Definition"/>
        <w:keepNext/>
      </w:pPr>
      <w:r>
        <w:rPr>
          <w:b/>
        </w:rPr>
        <w:t xml:space="preserve">Definition (Chirurgische Energie). </w:t>
      </w:r>
      <w:r>
        <w:t>E_surg(q)=⟨q,P_aniso(q)⟩=‖P_aniso(q)‖².</w:t>
      </w:r>
    </w:p>
    <w:p>
      <w:pPr>
        <w:pStyle w:val="Theorem"/>
        <w:keepNext/>
      </w:pPr>
      <w:r>
        <w:rPr>
          <w:b/>
        </w:rPr>
        <w:t xml:space="preserve">Satz (Nullkriterium). </w:t>
      </w:r>
      <w:r>
        <w:t>E_surg(q)=0 genau dann, wenn q isotrop ist.</w:t>
      </w:r>
    </w:p>
    <w:p>
      <w:pPr>
        <w:pStyle w:val="Proof"/>
      </w:pPr>
      <w:r>
        <w:rPr>
          <w:i/>
        </w:rPr>
        <w:t xml:space="preserve">Beweis. </w:t>
      </w:r>
      <w:r>
        <w:t>P_aniso ist ein orthogonaler Projektor. Daher ist E_surg(q)=‖P_aniso(q)‖²≥0 und verschwindet genau für P_aniso(q)=0. □</w:t>
      </w:r>
    </w:p>
    <w:p>
      <w:r>
        <w:t>Im Projekt ist dies mit der Live-Darstellbarkeit gekoppelt:</w:t>
      </w:r>
    </w:p>
    <w:p>
      <w:pPr>
        <w:pStyle w:val="Equation"/>
        <w:jc w:val="center"/>
      </w:pPr>
      <w:r>
        <w:t>E_surg(q)=0 ⇔ IsLiveRepresentable(q).</w:t>
      </w:r>
    </w:p>
    <w:p>
      <w:pPr>
        <w:pStyle w:val="Heading2"/>
        <w:keepNext/>
      </w:pPr>
      <w:r>
        <w:t>7.2 Semiprimaler Feinstruktursatz</w:t>
      </w:r>
    </w:p>
    <w:p>
      <w:r>
        <w:t>Die semiprime Feinstruktur wird durch die Aufteilung</w:t>
      </w:r>
    </w:p>
    <w:p>
      <w:pPr>
        <w:pStyle w:val="Equation"/>
        <w:jc w:val="center"/>
      </w:pPr>
      <w:r>
        <w:t>24I₃ + D_E°(q)</w:t>
      </w:r>
    </w:p>
    <w:p>
      <w:r>
        <w:t>erfasst. Der isotrope Anteil trägt die erzwungene Spur 72; der spurfreie Anteil trägt die relative Kanalgeometrie. Energetisch ist der Defekt vollständig durch E_surg bestimmt.</w:t>
      </w:r>
    </w:p>
    <w:p>
      <w:r>
        <w:t>Für q=(1,1,0) gilt</w:t>
      </w:r>
    </w:p>
    <w:p>
      <w:pPr>
        <w:pStyle w:val="Equation"/>
        <w:jc w:val="center"/>
      </w:pPr>
      <w:r>
        <w:t>P_aniso(q)=(1/3,1/3,−2/3),</w:t>
      </w:r>
    </w:p>
    <w:p>
      <w:pPr>
        <w:pStyle w:val="Equation"/>
        <w:jc w:val="center"/>
      </w:pPr>
      <w:r>
        <w:t>E_surg(q)=2/3,</w:t>
      </w:r>
    </w:p>
    <w:p>
      <w:pPr>
        <w:pStyle w:val="Equation"/>
        <w:jc w:val="center"/>
      </w:pPr>
      <w:r>
        <w:t>M_eff(q)=diag(73/3,73/3,70/3).</w:t>
      </w:r>
    </w:p>
    <w:p>
      <w:pPr>
        <w:pStyle w:val="Heading2"/>
        <w:keepNext/>
      </w:pPr>
      <w:r>
        <w:t>7.3 Intertwining-Defekt</w:t>
      </w:r>
    </w:p>
    <w:p>
      <w:pPr>
        <w:pStyle w:val="Definition"/>
        <w:keepNext/>
      </w:pPr>
      <w:r>
        <w:rPr>
          <w:b/>
        </w:rPr>
        <w:t xml:space="preserve">Definition (Intertwining-Defekt). </w:t>
      </w:r>
      <w:r>
        <w:t>Für F:Q→M und Dynamiken R_Q,R_M sei Δ(q)=F(R_Qq)−R_M(F(q)).</w:t>
      </w:r>
    </w:p>
    <w:p>
      <w:r>
        <w:t>Die dynamische Natürlichkeit wird in drei Klassen aufgeteilt: exakt, kontrolliert und asymptotisch. Exaktheit ist durch die Defektenergie zertifiziert:</w:t>
      </w:r>
    </w:p>
    <w:p>
      <w:pPr>
        <w:pStyle w:val="Equation"/>
        <w:jc w:val="center"/>
      </w:pPr>
      <w:r>
        <w:t>E_Δ(q)=0 ⇔ Δ(q)=0.</w:t>
      </w:r>
    </w:p>
    <w:p>
      <w:r>
        <w:t>Für die Dreierrotation cycle3 bei trivialer Tensordynamik ist</w:t>
      </w:r>
    </w:p>
    <w:p>
      <w:pPr>
        <w:pStyle w:val="Equation"/>
        <w:jc w:val="center"/>
      </w:pPr>
      <w:r>
        <w:t>Δ(x,y,z)=diag(z−x,x−y,y−z),</w:t>
      </w:r>
    </w:p>
    <w:p>
      <w:r>
        <w:t>und der Nullraum ist genau ℝ(1,1,1). Für alle q gilt in der projektinternen Normierung</w:t>
      </w:r>
    </w:p>
    <w:p>
      <w:pPr>
        <w:pStyle w:val="Equation"/>
        <w:jc w:val="center"/>
      </w:pPr>
      <w:r>
        <w:t>E_Δ(q)=3E_D(q).</w:t>
      </w:r>
    </w:p>
    <w:p>
      <w:r>
        <w:t>Die spektrale Erklärung verwendet die nichttrivialen C₃-Eigenwerte ω,ω² mit</w:t>
      </w:r>
    </w:p>
    <w:p>
      <w:pPr>
        <w:pStyle w:val="Equation"/>
        <w:jc w:val="center"/>
      </w:pPr>
      <w:r>
        <w:t>|ω−1|²=3.</w:t>
      </w:r>
    </w:p>
    <w:p>
      <w:pPr>
        <w:pStyle w:val="Heading2"/>
        <w:keepNext/>
      </w:pPr>
      <w:r>
        <w:t>7.4 Globale Defektakkumulation</w:t>
      </w:r>
    </w:p>
    <w:p>
      <w:pPr>
        <w:pStyle w:val="Theorem"/>
        <w:keepNext/>
      </w:pPr>
      <w:r>
        <w:rPr>
          <w:b/>
        </w:rPr>
        <w:t xml:space="preserve">Satz (Akkumulationsformel). </w:t>
      </w:r>
      <w:r>
        <w:t>Für den globalen Defekt gilt Δ⁽glob⁾_{n+1}=R_M(Δ⁽glob⁾_n)+Δ⁽loc⁾(R_Q^nq) und damit Δ⁽glob⁾_n=Σ_{k=0}^{n−1}R_M^{n−1−k}Δ⁽loc⁾(R_Q^kq).</w:t>
      </w:r>
    </w:p>
    <w:p>
      <w:r>
        <w:t>Die Formel trennt lokale von globaler Natürlichkeit. Lokal verschwindende Defekte können global einen Restterm hinterlassen; unter kollabierender Tensordynamik kann dagegen lokale Konvergenz globale Konvergenz implizieren.</w:t>
      </w:r>
    </w:p>
    <w:p>
      <w:pPr>
        <w:pStyle w:val="Heading1"/>
        <w:keepNext/>
      </w:pPr>
      <w:r>
        <w:t>8. TwinRay, TripletOrbit und Kanalgeometrie</w:t>
      </w:r>
    </w:p>
    <w:p>
      <w:pPr>
        <w:pStyle w:val="Heading2"/>
        <w:keepNext/>
      </w:pPr>
      <w:r>
        <w:t>8.1 Die TwinRay-Familie</w:t>
      </w:r>
    </w:p>
    <w:p>
      <w:r>
        <w:t>Die Zustände</w:t>
      </w:r>
    </w:p>
    <w:p>
      <w:pPr>
        <w:pStyle w:val="Equation"/>
        <w:jc w:val="center"/>
      </w:pPr>
      <w:r>
        <w:t>q_AB=(1,1,0),   q_CE=(0,0,1)</w:t>
      </w:r>
    </w:p>
    <w:p>
      <w:r>
        <w:t>erfüllen</w:t>
      </w:r>
    </w:p>
    <w:p>
      <w:pPr>
        <w:pStyle w:val="Equation"/>
        <w:jc w:val="center"/>
      </w:pPr>
      <w:r>
        <w:t>D_E°(q_CE)=−D_E°(q_AB).</w:t>
      </w:r>
    </w:p>
    <w:p>
      <w:r>
        <w:t>Beide besitzen dieselbe Energie E_surg=2/3 und sind nicht live darstellbar. Die Dualität ist eine geometrische Orientierungsumkehr im A₂-Sektor, keine Teilchen–Antiteilchen-Identifikation.</w:t>
      </w:r>
    </w:p>
    <w:p>
      <w:pPr>
        <w:pStyle w:val="Heading2"/>
        <w:keepNext/>
      </w:pPr>
      <w:r>
        <w:t>8.2 Die TripletOrbit-Familie</w:t>
      </w:r>
    </w:p>
    <w:p>
      <w:r>
        <w:t>Die Drillingszustände zerfallen kanonisch:</w:t>
      </w:r>
    </w:p>
    <w:p>
      <w:pPr>
        <w:pStyle w:val="Equation"/>
        <w:jc w:val="center"/>
      </w:pPr>
      <w:r>
        <w:t>{(1,1,1)} ⊔ {(1,1,0),(0,1,1),(1,0,1)}.</w:t>
      </w:r>
    </w:p>
    <w:p>
      <w:r>
        <w:t>Der erste Zustand ist isotrop und live darstellbar. Die drei übrigen bilden einen C₃-Orbit mit konstanter Energie 2/3 und sind nicht live darstellbar.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234E70"/>
            <w:vAlign w:val="center"/>
          </w:tcPr>
          <w:p>
            <w:r>
              <w:rPr>
                <w:rFonts w:ascii="Liberation Sans" w:hAnsi="Liberation Sans"/>
                <w:b/>
                <w:color w:val="FFFFFF"/>
                <w:sz w:val="17"/>
              </w:rPr>
              <w:t>Zustand</w:t>
            </w:r>
          </w:p>
        </w:tc>
        <w:tc>
          <w:tcPr>
            <w:tcW w:type="dxa" w:w="2448"/>
            <w:shd w:fill="234E70"/>
            <w:vAlign w:val="center"/>
          </w:tcPr>
          <w:p>
            <w:r>
              <w:rPr>
                <w:rFonts w:ascii="Liberation Sans" w:hAnsi="Liberation Sans"/>
                <w:b/>
                <w:color w:val="FFFFFF"/>
                <w:sz w:val="17"/>
              </w:rPr>
              <w:t>P_aniso</w:t>
            </w:r>
          </w:p>
        </w:tc>
        <w:tc>
          <w:tcPr>
            <w:tcW w:type="dxa" w:w="2448"/>
            <w:shd w:fill="234E70"/>
            <w:vAlign w:val="center"/>
          </w:tcPr>
          <w:p>
            <w:r>
              <w:rPr>
                <w:rFonts w:ascii="Liberation Sans" w:hAnsi="Liberation Sans"/>
                <w:b/>
                <w:color w:val="FFFFFF"/>
                <w:sz w:val="17"/>
              </w:rPr>
              <w:t>E_surg</w:t>
            </w:r>
          </w:p>
        </w:tc>
        <w:tc>
          <w:tcPr>
            <w:tcW w:type="dxa" w:w="2448"/>
            <w:shd w:fill="234E70"/>
            <w:vAlign w:val="center"/>
          </w:tcPr>
          <w:p>
            <w:r>
              <w:rPr>
                <w:rFonts w:ascii="Liberation Sans" w:hAnsi="Liberation Sans"/>
                <w:b/>
                <w:color w:val="FFFFFF"/>
                <w:sz w:val="17"/>
              </w:rPr>
              <w:t>Live</w:t>
            </w:r>
          </w:p>
        </w:tc>
      </w:tr>
      <w:tr>
        <w:tc>
          <w:tcPr>
            <w:tcW w:type="dxa" w:w="2448"/>
            <w:vAlign w:val="center"/>
          </w:tcPr>
          <w:p>
            <w:pPr>
              <w:spacing w:after="30"/>
            </w:pPr>
            <w:r>
              <w:rPr>
                <w:rFonts w:ascii="Liberation Serif" w:hAnsi="Liberation Serif"/>
                <w:sz w:val="17"/>
              </w:rPr>
              <w:t>(1,1,1)</w:t>
            </w:r>
          </w:p>
        </w:tc>
        <w:tc>
          <w:tcPr>
            <w:tcW w:type="dxa" w:w="2448"/>
            <w:vAlign w:val="center"/>
          </w:tcPr>
          <w:p>
            <w:pPr>
              <w:spacing w:after="30"/>
            </w:pPr>
            <w:r>
              <w:rPr>
                <w:rFonts w:ascii="Liberation Serif" w:hAnsi="Liberation Serif"/>
                <w:sz w:val="17"/>
              </w:rPr>
              <w:t>(0,0,0)</w:t>
            </w:r>
          </w:p>
        </w:tc>
        <w:tc>
          <w:tcPr>
            <w:tcW w:type="dxa" w:w="2448"/>
            <w:vAlign w:val="center"/>
          </w:tcPr>
          <w:p>
            <w:pPr>
              <w:spacing w:after="30"/>
            </w:pPr>
            <w:r>
              <w:rPr>
                <w:rFonts w:ascii="Liberation Serif" w:hAnsi="Liberation Serif"/>
                <w:sz w:val="17"/>
              </w:rPr>
              <w:t>0</w:t>
            </w:r>
          </w:p>
        </w:tc>
        <w:tc>
          <w:tcPr>
            <w:tcW w:type="dxa" w:w="2448"/>
            <w:vAlign w:val="center"/>
          </w:tcPr>
          <w:p>
            <w:pPr>
              <w:spacing w:after="30"/>
            </w:pPr>
            <w:r>
              <w:rPr>
                <w:rFonts w:ascii="Liberation Serif" w:hAnsi="Liberation Serif"/>
                <w:sz w:val="17"/>
              </w:rPr>
              <w:t>ja</w:t>
            </w:r>
          </w:p>
        </w:tc>
      </w:tr>
      <w:tr>
        <w:tc>
          <w:tcPr>
            <w:tcW w:type="dxa" w:w="2448"/>
            <w:vAlign w:val="center"/>
          </w:tcPr>
          <w:p>
            <w:pPr>
              <w:spacing w:after="30"/>
            </w:pPr>
            <w:r>
              <w:rPr>
                <w:rFonts w:ascii="Liberation Serif" w:hAnsi="Liberation Serif"/>
                <w:sz w:val="17"/>
              </w:rPr>
              <w:t>(1,1,0)</w:t>
            </w:r>
          </w:p>
        </w:tc>
        <w:tc>
          <w:tcPr>
            <w:tcW w:type="dxa" w:w="2448"/>
            <w:vAlign w:val="center"/>
          </w:tcPr>
          <w:p>
            <w:pPr>
              <w:spacing w:after="30"/>
            </w:pPr>
            <w:r>
              <w:rPr>
                <w:rFonts w:ascii="Liberation Serif" w:hAnsi="Liberation Serif"/>
                <w:sz w:val="17"/>
              </w:rPr>
              <w:t>(1/3,1/3,−2/3)</w:t>
            </w:r>
          </w:p>
        </w:tc>
        <w:tc>
          <w:tcPr>
            <w:tcW w:type="dxa" w:w="2448"/>
            <w:vAlign w:val="center"/>
          </w:tcPr>
          <w:p>
            <w:pPr>
              <w:spacing w:after="30"/>
            </w:pPr>
            <w:r>
              <w:rPr>
                <w:rFonts w:ascii="Liberation Serif" w:hAnsi="Liberation Serif"/>
                <w:sz w:val="17"/>
              </w:rPr>
              <w:t>2/3</w:t>
            </w:r>
          </w:p>
        </w:tc>
        <w:tc>
          <w:tcPr>
            <w:tcW w:type="dxa" w:w="2448"/>
            <w:vAlign w:val="center"/>
          </w:tcPr>
          <w:p>
            <w:pPr>
              <w:spacing w:after="30"/>
            </w:pPr>
            <w:r>
              <w:rPr>
                <w:rFonts w:ascii="Liberation Serif" w:hAnsi="Liberation Serif"/>
                <w:sz w:val="17"/>
              </w:rPr>
              <w:t>nein</w:t>
            </w:r>
          </w:p>
        </w:tc>
      </w:tr>
      <w:tr>
        <w:tc>
          <w:tcPr>
            <w:tcW w:type="dxa" w:w="2448"/>
            <w:vAlign w:val="center"/>
          </w:tcPr>
          <w:p>
            <w:pPr>
              <w:spacing w:after="30"/>
            </w:pPr>
            <w:r>
              <w:rPr>
                <w:rFonts w:ascii="Liberation Serif" w:hAnsi="Liberation Serif"/>
                <w:sz w:val="17"/>
              </w:rPr>
              <w:t>(0,1,1)</w:t>
            </w:r>
          </w:p>
        </w:tc>
        <w:tc>
          <w:tcPr>
            <w:tcW w:type="dxa" w:w="2448"/>
            <w:vAlign w:val="center"/>
          </w:tcPr>
          <w:p>
            <w:pPr>
              <w:spacing w:after="30"/>
            </w:pPr>
            <w:r>
              <w:rPr>
                <w:rFonts w:ascii="Liberation Serif" w:hAnsi="Liberation Serif"/>
                <w:sz w:val="17"/>
              </w:rPr>
              <w:t>(−2/3,1/3,1/3)</w:t>
            </w:r>
          </w:p>
        </w:tc>
        <w:tc>
          <w:tcPr>
            <w:tcW w:type="dxa" w:w="2448"/>
            <w:vAlign w:val="center"/>
          </w:tcPr>
          <w:p>
            <w:pPr>
              <w:spacing w:after="30"/>
            </w:pPr>
            <w:r>
              <w:rPr>
                <w:rFonts w:ascii="Liberation Serif" w:hAnsi="Liberation Serif"/>
                <w:sz w:val="17"/>
              </w:rPr>
              <w:t>2/3</w:t>
            </w:r>
          </w:p>
        </w:tc>
        <w:tc>
          <w:tcPr>
            <w:tcW w:type="dxa" w:w="2448"/>
            <w:vAlign w:val="center"/>
          </w:tcPr>
          <w:p>
            <w:pPr>
              <w:spacing w:after="30"/>
            </w:pPr>
            <w:r>
              <w:rPr>
                <w:rFonts w:ascii="Liberation Serif" w:hAnsi="Liberation Serif"/>
                <w:sz w:val="17"/>
              </w:rPr>
              <w:t>nein</w:t>
            </w:r>
          </w:p>
        </w:tc>
      </w:tr>
      <w:tr>
        <w:tc>
          <w:tcPr>
            <w:tcW w:type="dxa" w:w="2448"/>
            <w:vAlign w:val="center"/>
          </w:tcPr>
          <w:p>
            <w:pPr>
              <w:spacing w:after="30"/>
            </w:pPr>
            <w:r>
              <w:rPr>
                <w:rFonts w:ascii="Liberation Serif" w:hAnsi="Liberation Serif"/>
                <w:sz w:val="17"/>
              </w:rPr>
              <w:t>(1,0,1)</w:t>
            </w:r>
          </w:p>
        </w:tc>
        <w:tc>
          <w:tcPr>
            <w:tcW w:type="dxa" w:w="2448"/>
            <w:vAlign w:val="center"/>
          </w:tcPr>
          <w:p>
            <w:pPr>
              <w:spacing w:after="30"/>
            </w:pPr>
            <w:r>
              <w:rPr>
                <w:rFonts w:ascii="Liberation Serif" w:hAnsi="Liberation Serif"/>
                <w:sz w:val="17"/>
              </w:rPr>
              <w:t>(1/3,−2/3,1/3)</w:t>
            </w:r>
          </w:p>
        </w:tc>
        <w:tc>
          <w:tcPr>
            <w:tcW w:type="dxa" w:w="2448"/>
            <w:vAlign w:val="center"/>
          </w:tcPr>
          <w:p>
            <w:pPr>
              <w:spacing w:after="30"/>
            </w:pPr>
            <w:r>
              <w:rPr>
                <w:rFonts w:ascii="Liberation Serif" w:hAnsi="Liberation Serif"/>
                <w:sz w:val="17"/>
              </w:rPr>
              <w:t>2/3</w:t>
            </w:r>
          </w:p>
        </w:tc>
        <w:tc>
          <w:tcPr>
            <w:tcW w:type="dxa" w:w="2448"/>
            <w:vAlign w:val="center"/>
          </w:tcPr>
          <w:p>
            <w:pPr>
              <w:spacing w:after="30"/>
            </w:pPr>
            <w:r>
              <w:rPr>
                <w:rFonts w:ascii="Liberation Serif" w:hAnsi="Liberation Serif"/>
                <w:sz w:val="17"/>
              </w:rPr>
              <w:t>nein</w:t>
            </w:r>
          </w:p>
        </w:tc>
      </w:tr>
    </w:tbl>
    <w:p/>
    <w:p>
      <w:pPr>
        <w:pStyle w:val="Heading2"/>
        <w:keepNext/>
      </w:pPr>
      <w:r>
        <w:t>8.3 Komplementdualität</w:t>
      </w:r>
    </w:p>
    <w:p>
      <w:r>
        <w:t>Die Abbildung q↦1−q vertauscht Gewicht eins und Gewicht zwei und erfüllt</w:t>
      </w:r>
    </w:p>
    <w:p>
      <w:pPr>
        <w:pStyle w:val="Equation"/>
        <w:jc w:val="center"/>
      </w:pPr>
      <w:r>
        <w:t>P_aniso(1−q)=−P_aniso(q),</w:t>
      </w:r>
    </w:p>
    <w:p>
      <w:pPr>
        <w:pStyle w:val="Equation"/>
        <w:jc w:val="center"/>
      </w:pPr>
      <w:r>
        <w:t>D_E°(1−q)=−D_E°(q),</w:t>
      </w:r>
    </w:p>
    <w:p>
      <w:pPr>
        <w:pStyle w:val="Equation"/>
        <w:jc w:val="center"/>
      </w:pPr>
      <w:r>
        <w:t>E_surg(1−q)=E_surg(q).</w:t>
      </w:r>
    </w:p>
    <w:p>
      <w:r>
        <w:t>TwinRay ist damit Spezialfall einer allgemeinen Komplementdualität.</w:t>
      </w:r>
    </w:p>
    <w:p>
      <w:pPr>
        <w:pStyle w:val="Heading2"/>
        <w:keepNext/>
      </w:pPr>
      <w:r>
        <w:t>8.4 Entropische Barriere</w:t>
      </w:r>
    </w:p>
    <w:p>
      <w:pPr>
        <w:pStyle w:val="Definition"/>
        <w:keepNext/>
      </w:pPr>
      <w:r>
        <w:rPr>
          <w:b/>
        </w:rPr>
        <w:t xml:space="preserve">Definition (Barrierenfunktion). </w:t>
      </w:r>
      <w:r>
        <w:t>ΔS_barrier(q)=−(1/2)E_surg(q).</w:t>
      </w:r>
    </w:p>
    <w:p>
      <w:r>
        <w:t>Daraus folgt</w:t>
      </w:r>
    </w:p>
    <w:p>
      <w:pPr>
        <w:pStyle w:val="Equation"/>
        <w:jc w:val="center"/>
      </w:pPr>
      <w:r>
        <w:t>ΔS_barrier(q)=0 ⇔ E_surg(q)=0 ⇔ IsLiveRepresentable(q).</w:t>
      </w:r>
    </w:p>
    <w:p>
      <w:r>
        <w:t>Für alle kanonischen anisotropen Zertifikate gilt</w:t>
      </w:r>
    </w:p>
    <w:p>
      <w:pPr>
        <w:pStyle w:val="Equation"/>
        <w:jc w:val="center"/>
      </w:pPr>
      <w:r>
        <w:t>ΔS_barrier=−1/3.</w:t>
      </w:r>
    </w:p>
    <w:p>
      <w:pPr>
        <w:pStyle w:val="ClaimBoundary"/>
        <w:keepNext/>
      </w:pPr>
      <w:r>
        <w:rPr>
          <w:b/>
        </w:rPr>
        <w:t xml:space="preserve">CLAIM-GRENZE: </w:t>
      </w:r>
      <w:r>
        <w:t>ΔS_barrier ist ein Spiegel-Zertifikat der Energie-API. Es ist weder Boltzmann-Entropie noch thermodynamische Entropieproduktion, freie Energie oder Zustandszählung.</w:t>
      </w:r>
    </w:p>
    <w:p>
      <w:pPr>
        <w:pStyle w:val="Heading1"/>
        <w:keepNext/>
      </w:pPr>
      <w:r>
        <w:t>9. Tetraedrische und oktonische Strukturlesarten</w:t>
      </w:r>
    </w:p>
    <w:p>
      <w:pPr>
        <w:pStyle w:val="Heading2"/>
        <w:keepNext/>
      </w:pPr>
      <w:r>
        <w:t>9.1 EABC als Tetraeder</w:t>
      </w:r>
    </w:p>
    <w:p>
      <w:r>
        <w:t>Vier Klassen legen eine tetraedrische Lesart nahe: A,B,C,E werden als Eckpunkte eines abstrakten Tetraeders aufgefasst. Kanten kodieren Paarbeziehungen, Flächen Tripel und der volle Tetraeder die Viererstruktur. Die Fläche ABC besitzt eine natürliche Namensbrücke zum isotropen Zustand q_ABC=(1,1,1).</w:t>
      </w:r>
    </w:p>
    <w:p>
      <w:r>
        <w:t>Die Kontaktmetrik kann formal untersucht werden; die Gleichsetzung von Tetraederfläche und Kanalzustand bleibt jedoch eine kontrollierte Strukturlesart.</w:t>
      </w:r>
    </w:p>
    <w:p>
      <w:pPr>
        <w:pStyle w:val="Heading2"/>
        <w:keepNext/>
      </w:pPr>
      <w:r>
        <w:t>9.2 Tetraedrische Defekte</w:t>
      </w:r>
    </w:p>
    <w:p>
      <w:r>
        <w:t>Ein tetraedrischer Defekt kann als Abweichung von gleichmäßigen Kanten-, Flächen- oder Gewichtszuweisungen verstanden werden. Algebraisch ist der naheliegende dreidimensionale Defektraum wieder A₂^ℝ. Die C₃-Rotation des TripletOrbit entspricht dabei dem Formtyp eines Zyklus der Kanten AB→BC→AC.</w:t>
      </w:r>
    </w:p>
    <w:p>
      <w:pPr>
        <w:pStyle w:val="Heading2"/>
        <w:keepNext/>
      </w:pPr>
      <w:r>
        <w:t>9.3 Achtkanal-Schale und Oktonik</w:t>
      </w:r>
    </w:p>
    <w:p>
      <w:r>
        <w:t>Durch Vorzeichen-, Komplement- oder Liftstrukturen kann eine achtdimensionale Schale entstehen. Die Residuen 5,7,11 werden mit A,B,C verbunden; weitere Kanäle entstehen durch Lifte und Komplementoperationen. Eine solche 8-Kanal-Struktur besitzt dieselbe Dimension wie die reellen Oktonionen.</w:t>
      </w:r>
    </w:p>
    <w:p>
      <w:pPr>
        <w:pStyle w:val="ClaimBoundary"/>
        <w:keepNext/>
      </w:pPr>
      <w:r>
        <w:rPr>
          <w:b/>
        </w:rPr>
        <w:t xml:space="preserve">CLAIM-GRENZE: </w:t>
      </w:r>
      <w:r>
        <w:t>Gleiche Dimension und Fano-artige Inzidenz genügen nicht zur Identifikation mit der Oktonionenalgebra ℍ. Für eine echte Oktonionenrealisierung wären eine nichtassoziative Multiplikation, Alternativität, eine multiplikative Norm und eine explizite Isomorphie zu beweisen.</w:t>
      </w:r>
    </w:p>
    <w:p>
      <w:pPr>
        <w:pStyle w:val="Heading2"/>
        <w:keepNext/>
      </w:pPr>
      <w:r>
        <w:t>9.4 Fano-Ebene und Assoziator</w:t>
      </w:r>
    </w:p>
    <w:p>
      <w:r>
        <w:t>Die sieben imaginären Oktonioneneinheiten werden durch die Fano-Ebene organisiert. Orientierte Geraden bestimmen Produkte e_i e_j=±e_k. Der Assoziator</w:t>
      </w:r>
    </w:p>
    <w:p>
      <w:pPr>
        <w:pStyle w:val="Equation"/>
        <w:jc w:val="center"/>
      </w:pPr>
      <w:r>
        <w:t>[x,y,z]=(xy)z−x(yz)</w:t>
      </w:r>
    </w:p>
    <w:p>
      <w:r>
        <w:t>misst Nichtassoziativität. Im Projekt ist der Assoziator daher ein geeigneter Test, ob eine vorgeschlagene Achtkanalstruktur mehr als nur eine dimensionale Analogie liefert.</w:t>
      </w:r>
    </w:p>
    <w:p>
      <w:pPr>
        <w:pStyle w:val="Heading2"/>
        <w:keepNext/>
      </w:pPr>
      <w:r>
        <w:t>9.5 E8-Lesart</w:t>
      </w:r>
    </w:p>
    <w:p>
      <w:r>
        <w:t>Das E8-Gitter ist ein gerades unimodulares Gitter in acht Dimensionen und zugleich die dichteste bekannte und bewiesene Kugelpackungsstruktur in ℝ⁸. Hurwitz- und oktonionische Koordinaten liefern klassische Zugänge zu E8. Im Projekt bleibt die Bamberg-E8-Verbindung eine Hypothesen- und Lesartsebene.</w:t>
      </w:r>
    </w:p>
    <w:p>
      <w:pPr>
        <w:pStyle w:val="ClaimBoundary"/>
        <w:keepNext/>
      </w:pPr>
      <w:r>
        <w:rPr>
          <w:b/>
        </w:rPr>
        <w:t xml:space="preserve">CLAIM-GRENZE: </w:t>
      </w:r>
      <w:r>
        <w:t>Es liegt keine bewiesene Isomorphie zwischen der EABC-Achtkanalschale und dem E8-Gitter vor.</w:t>
      </w:r>
    </w:p>
    <w:p>
      <w:pPr>
        <w:pStyle w:val="Heading1"/>
        <w:keepNext/>
      </w:pPr>
      <w:r>
        <w:t>10. Kepler-Packungen von ℝ² bis ℝ⁸</w:t>
      </w:r>
    </w:p>
    <w:p>
      <w:pPr>
        <w:pStyle w:val="Heading2"/>
        <w:keepNext/>
      </w:pPr>
      <w:r>
        <w:t>10.1 Dimension zwei</w:t>
      </w:r>
    </w:p>
    <w:p>
      <w:r>
        <w:t>In ℝ² ist die hexagonale Kreispackung optimal. Ihr Kontaktgraph besitzt sechs Nachbarn pro Kreis und steht in enger Beziehung zum A₂-Gitter. Diese Tatsache macht A₂ zu einer natürlichen geometrischen Referenz für den zweidimensionalen anisotropen Kanalraum.</w:t>
      </w:r>
    </w:p>
    <w:p>
      <w:pPr>
        <w:pStyle w:val="Heading2"/>
        <w:keepNext/>
      </w:pPr>
      <w:r>
        <w:t>10.2 Dimension drei und die Kepler-Vermutung</w:t>
      </w:r>
    </w:p>
    <w:p>
      <w:r>
        <w:t>In ℝ³ erreichen die flächenzentriert-kubische und die hexagonal dichteste Packung die Dichte π/√18. Hales' Beweis der Kepler-Vermutung und die spätere Flyspeck-Formalisierung zeigen, wie lokale Konfigurationen, lineare Abschätzungen und maschinengeprüfte Beweise zusammenwirken können.</w:t>
      </w:r>
    </w:p>
    <w:p>
      <w:r>
        <w:t>Die Stella octangula — die Vereinigung zweier dualer Tetraeder — liefert eine anschauliche Z₂-Orientierungsstruktur. Im Projekt ist dies eine geometrische Parallele zu TwinRay, kein Beweis einer Packungsidentität.</w:t>
      </w:r>
    </w:p>
    <w:p>
      <w:pPr>
        <w:pStyle w:val="Heading2"/>
        <w:keepNext/>
      </w:pPr>
      <w:r>
        <w:t>10.3 Dimension vier</w:t>
      </w:r>
    </w:p>
    <w:p>
      <w:r>
        <w:t>Das D₄-Gitter besitzt außergewöhnliche Symmetrie und Kissing-Zahl 24. Die Zahl 24 tritt damit erneut geometrisch auf. Der EABC-Spurzwang c=24 wird jedoch algebraisch aus T=72 und n=3 hergeleitet und hängt nicht von D₄ ab.</w:t>
      </w:r>
    </w:p>
    <w:p>
      <w:pPr>
        <w:pStyle w:val="Heading2"/>
        <w:keepNext/>
      </w:pPr>
      <w:r>
        <w:t>10.4 Dimensionen fünf bis sieben</w:t>
      </w:r>
    </w:p>
    <w:p>
      <w:r>
        <w:t>In den Dimensionen fünf bis sieben erscheinen laminated lattices und komplexe lokale Kontaktstrukturen. Für das Projekt dienen diese Dimensionen vor allem als Warnung: Symmetrieheuristiken allein reichen nicht zur Optimalität; numerische Evidenz, Gitterklassifikation und globale Schranken müssen getrennt werden.</w:t>
      </w:r>
    </w:p>
    <w:p>
      <w:pPr>
        <w:pStyle w:val="Heading2"/>
        <w:keepNext/>
      </w:pPr>
      <w:r>
        <w:t>10.5 Dimension acht</w:t>
      </w:r>
    </w:p>
    <w:p>
      <w:r>
        <w:t>In ℝ⁸ ist die E8-Packung optimal. Ihre außergewöhnliche Dichte und Symmetrie motivieren die Frage, ob arithmetische Engführungen, Hurwitz-Strukturen und achtkanalige Defekte durch einen gemeinsamen Gittermechanismus verbunden sein könnten. Diese Frage bleibt offen, solange kein basisunabhängiger Kopplungsscore und keine Isomorphie konstruiert sind.</w:t>
      </w:r>
    </w:p>
    <w:p>
      <w:pPr>
        <w:pStyle w:val="Heading2"/>
        <w:keepNext/>
      </w:pPr>
      <w:r>
        <w:t>10.6 Kissing-Zahlen und Kontaktmetriken</w:t>
      </w:r>
    </w:p>
    <w:p>
      <w:r>
        <w:t>Kissing-Zahlen zählen, wie viele gleich große Kugeln eine zentrale Kugel berühren können. Kontaktmetriken sind daher natürliche diskrete Observablen. Im Projekt werden sie als geometrische Vergleichsgrößen verwendet; sie ersetzen weder Packungsdichte noch Optimalitätsbeweis.</w:t>
      </w:r>
    </w:p>
    <w:p>
      <w:pPr>
        <w:pStyle w:val="Heading1"/>
        <w:keepNext/>
      </w:pPr>
      <w:r>
        <w:t>11. Physikalische Brücken: Phase, Quantisierung, Ordnung und Vakuum</w:t>
      </w:r>
    </w:p>
    <w:p>
      <w:pPr>
        <w:pStyle w:val="Heading2"/>
        <w:keepNext/>
      </w:pPr>
      <w:r>
        <w:t>11.1 Aharonov–Bohm und Holonomie</w:t>
      </w:r>
    </w:p>
    <w:p>
      <w:r>
        <w:t>Der Aharonov–Bohm-Effekt zeigt, dass eine quantenmechanische Phase durch eine nichttriviale Holonomie beeinflusst werden kann, obwohl das lokale Feld entlang des Teilchenwegs verschwindet. Mathematisch erscheint eine Schleifenphase</w:t>
      </w:r>
    </w:p>
    <w:p>
      <w:pPr>
        <w:pStyle w:val="Equation"/>
        <w:jc w:val="center"/>
      </w:pPr>
      <w:r>
        <w:t>exp(i q∮A·dl / ħ).</w:t>
      </w:r>
    </w:p>
    <w:p>
      <w:r>
        <w:t>Im Projekt wird die Vorzeichenholonomie σ=±1 als Z₂-Formtyp mit TwinRay verglichen. Dies ist eine Analogie der Orientierungsstruktur, keine Identität von Defekttensor und elektromagnetischer Phase.</w:t>
      </w:r>
    </w:p>
    <w:p>
      <w:pPr>
        <w:pStyle w:val="Heading2"/>
        <w:keepNext/>
      </w:pPr>
      <w:r>
        <w:t>11.2 Quanten-Hall-Effekt und von Klitzing</w:t>
      </w:r>
    </w:p>
    <w:p>
      <w:r>
        <w:t>Der ganzzahlige Quanten-Hall-Effekt liefert quantisierte Hall-Widerstände</w:t>
      </w:r>
    </w:p>
    <w:p>
      <w:pPr>
        <w:pStyle w:val="Equation"/>
        <w:jc w:val="center"/>
      </w:pPr>
      <w:r>
        <w:t>R_H = h/(νe²).</w:t>
      </w:r>
    </w:p>
    <w:p>
      <w:r>
        <w:t>Seine topologische Robustheit motiviert den Vergleich zwischen ganzzahligen Winding-Invarianten und stabilen Defektklassen. Im Projekt sind Transport-Winding und EABC-Kanalenergie jedoch getrennte Observablen.</w:t>
      </w:r>
    </w:p>
    <w:p>
      <w:pPr>
        <w:pStyle w:val="Heading2"/>
        <w:keepNext/>
      </w:pPr>
      <w:r>
        <w:t>11.3 Onsager und Ordnung–Unordnung</w:t>
      </w:r>
    </w:p>
    <w:p>
      <w:r>
        <w:t>Onsagers exakte Lösung des zweidimensionalen Ising-Modells ist ein Leitbild dafür, wie lokale Kopplungen zu einer globalen Ordnungsstruktur führen. Die EABC-Lesart „statische Persistenz – dynamische Persistenz – Neuheitserzeugung“ nutzt ähnliche epistemische Stufen, ohne das Modell mit einem Ising-Hamiltonian gleichzusetzen.</w:t>
      </w:r>
    </w:p>
    <w:p>
      <w:pPr>
        <w:pStyle w:val="Heading2"/>
        <w:keepNext/>
      </w:pPr>
      <w:r>
        <w:t>11.4 Casimir und Randbedingungen</w:t>
      </w:r>
    </w:p>
    <w:p>
      <w:r>
        <w:t>Der Casimir-Effekt beschreibt Kräfte, die durch geänderte Modenstrukturen zwischen Randflächen entstehen. Für das Projekt ist die methodische Pointe relevant: Randbedingungen können ein Spektrum und eine effektive Energie verändern. Daraus folgt jedoch keine Identifikation der EABC-Defektenergie mit Vakuumenergie.</w:t>
      </w:r>
    </w:p>
    <w:p>
      <w:pPr>
        <w:pStyle w:val="Heading2"/>
        <w:keepNext/>
      </w:pPr>
      <w:r>
        <w:t>11.5 Feinstrukturkonstante und Hall-Quantisierung</w:t>
      </w:r>
    </w:p>
    <w:p>
      <w:r>
        <w:t>Von Klitzing, Dorda und Pepper verbanden die quantisierte Hall-Resistenz mit einer hochpräzisen Bestimmung der Feinstrukturkonstante. Dies zeigt, wie dimensionslose Kopplungen, Topologie und Metrologie zusammenwirken können. Das semiprime Feinstrukturtheorem des Projekts ist hingegen eine interne Normalform- und Defektaussage; ein numerischer α-Claim ist durch die Governance ausdrücklich ausgeschlossen.</w:t>
      </w:r>
    </w:p>
    <w:p>
      <w:pPr>
        <w:pStyle w:val="Heading2"/>
        <w:keepNext/>
      </w:pPr>
      <w:r>
        <w:t>11.6 Energiebegriffe sauber trennen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shd w:fill="234E70"/>
            <w:vAlign w:val="center"/>
          </w:tcPr>
          <w:p>
            <w:r>
              <w:rPr>
                <w:rFonts w:ascii="Liberation Sans" w:hAnsi="Liberation Sans"/>
                <w:b/>
                <w:color w:val="FFFFFF"/>
                <w:sz w:val="17"/>
              </w:rPr>
              <w:t>Größe</w:t>
            </w:r>
          </w:p>
        </w:tc>
        <w:tc>
          <w:tcPr>
            <w:tcW w:type="dxa" w:w="3024"/>
            <w:shd w:fill="234E70"/>
            <w:vAlign w:val="center"/>
          </w:tcPr>
          <w:p>
            <w:r>
              <w:rPr>
                <w:rFonts w:ascii="Liberation Sans" w:hAnsi="Liberation Sans"/>
                <w:b/>
                <w:color w:val="FFFFFF"/>
                <w:sz w:val="17"/>
              </w:rPr>
              <w:t>Definitionsebene</w:t>
            </w:r>
          </w:p>
        </w:tc>
        <w:tc>
          <w:tcPr>
            <w:tcW w:type="dxa" w:w="2880"/>
            <w:shd w:fill="234E70"/>
            <w:vAlign w:val="center"/>
          </w:tcPr>
          <w:p>
            <w:r>
              <w:rPr>
                <w:rFonts w:ascii="Liberation Sans" w:hAnsi="Liberation Sans"/>
                <w:b/>
                <w:color w:val="FFFFFF"/>
                <w:sz w:val="17"/>
              </w:rPr>
              <w:t>Zulässige Lesart</w:t>
            </w:r>
          </w:p>
        </w:tc>
        <w:tc>
          <w:tcPr>
            <w:tcW w:type="dxa" w:w="2880"/>
            <w:shd w:fill="234E70"/>
            <w:vAlign w:val="center"/>
          </w:tcPr>
          <w:p>
            <w:r>
              <w:rPr>
                <w:rFonts w:ascii="Liberation Sans" w:hAnsi="Liberation Sans"/>
                <w:b/>
                <w:color w:val="FFFFFF"/>
                <w:sz w:val="17"/>
              </w:rPr>
              <w:t>Nicht behauptet</w:t>
            </w:r>
          </w:p>
        </w:tc>
      </w:tr>
      <w:tr>
        <w:tc>
          <w:tcPr>
            <w:tcW w:type="dxa" w:w="1440"/>
            <w:vAlign w:val="center"/>
          </w:tcPr>
          <w:p>
            <w:pPr>
              <w:spacing w:after="30"/>
            </w:pPr>
            <w:r>
              <w:rPr>
                <w:rFonts w:ascii="Liberation Serif" w:hAnsi="Liberation Serif"/>
                <w:sz w:val="17"/>
              </w:rPr>
              <w:t>E_surg</w:t>
            </w:r>
          </w:p>
        </w:tc>
        <w:tc>
          <w:tcPr>
            <w:tcW w:type="dxa" w:w="3024"/>
            <w:vAlign w:val="center"/>
          </w:tcPr>
          <w:p>
            <w:pPr>
              <w:spacing w:after="30"/>
            </w:pPr>
            <w:r>
              <w:rPr>
                <w:rFonts w:ascii="Liberation Serif" w:hAnsi="Liberation Serif"/>
                <w:sz w:val="17"/>
              </w:rPr>
              <w:t>Quadratische Norm von P_aniso(q)</w:t>
            </w:r>
          </w:p>
        </w:tc>
        <w:tc>
          <w:tcPr>
            <w:tcW w:type="dxa" w:w="2880"/>
            <w:vAlign w:val="center"/>
          </w:tcPr>
          <w:p>
            <w:pPr>
              <w:spacing w:after="30"/>
            </w:pPr>
            <w:r>
              <w:rPr>
                <w:rFonts w:ascii="Liberation Serif" w:hAnsi="Liberation Serif"/>
                <w:sz w:val="17"/>
              </w:rPr>
              <w:t>Anisotropiestärke</w:t>
            </w:r>
          </w:p>
        </w:tc>
        <w:tc>
          <w:tcPr>
            <w:tcW w:type="dxa" w:w="2880"/>
            <w:vAlign w:val="center"/>
          </w:tcPr>
          <w:p>
            <w:pPr>
              <w:spacing w:after="30"/>
            </w:pPr>
            <w:r>
              <w:rPr>
                <w:rFonts w:ascii="Liberation Serif" w:hAnsi="Liberation Serif"/>
                <w:sz w:val="17"/>
              </w:rPr>
              <w:t>physikalische Energie</w:t>
            </w:r>
          </w:p>
        </w:tc>
      </w:tr>
      <w:tr>
        <w:tc>
          <w:tcPr>
            <w:tcW w:type="dxa" w:w="1440"/>
            <w:vAlign w:val="center"/>
          </w:tcPr>
          <w:p>
            <w:pPr>
              <w:spacing w:after="30"/>
            </w:pPr>
            <w:r>
              <w:rPr>
                <w:rFonts w:ascii="Liberation Serif" w:hAnsi="Liberation Serif"/>
                <w:sz w:val="17"/>
              </w:rPr>
              <w:t>E_Δ</w:t>
            </w:r>
          </w:p>
        </w:tc>
        <w:tc>
          <w:tcPr>
            <w:tcW w:type="dxa" w:w="3024"/>
            <w:vAlign w:val="center"/>
          </w:tcPr>
          <w:p>
            <w:pPr>
              <w:spacing w:after="30"/>
            </w:pPr>
            <w:r>
              <w:rPr>
                <w:rFonts w:ascii="Liberation Serif" w:hAnsi="Liberation Serif"/>
                <w:sz w:val="17"/>
              </w:rPr>
              <w:t>Frobeniusnorm des Intertwining-Defekts</w:t>
            </w:r>
          </w:p>
        </w:tc>
        <w:tc>
          <w:tcPr>
            <w:tcW w:type="dxa" w:w="2880"/>
            <w:vAlign w:val="center"/>
          </w:tcPr>
          <w:p>
            <w:pPr>
              <w:spacing w:after="30"/>
            </w:pPr>
            <w:r>
              <w:rPr>
                <w:rFonts w:ascii="Liberation Serif" w:hAnsi="Liberation Serif"/>
                <w:sz w:val="17"/>
              </w:rPr>
              <w:t>Dynamische Unnatürlichkeit</w:t>
            </w:r>
          </w:p>
        </w:tc>
        <w:tc>
          <w:tcPr>
            <w:tcW w:type="dxa" w:w="2880"/>
            <w:vAlign w:val="center"/>
          </w:tcPr>
          <w:p>
            <w:pPr>
              <w:spacing w:after="30"/>
            </w:pPr>
            <w:r>
              <w:rPr>
                <w:rFonts w:ascii="Liberation Serif" w:hAnsi="Liberation Serif"/>
                <w:sz w:val="17"/>
              </w:rPr>
              <w:t>Dissipation</w:t>
            </w:r>
          </w:p>
        </w:tc>
      </w:tr>
      <w:tr>
        <w:tc>
          <w:tcPr>
            <w:tcW w:type="dxa" w:w="1440"/>
            <w:vAlign w:val="center"/>
          </w:tcPr>
          <w:p>
            <w:pPr>
              <w:spacing w:after="30"/>
            </w:pPr>
            <w:r>
              <w:rPr>
                <w:rFonts w:ascii="Liberation Serif" w:hAnsi="Liberation Serif"/>
                <w:sz w:val="17"/>
              </w:rPr>
              <w:t>ΔS_barrier</w:t>
            </w:r>
          </w:p>
        </w:tc>
        <w:tc>
          <w:tcPr>
            <w:tcW w:type="dxa" w:w="3024"/>
            <w:vAlign w:val="center"/>
          </w:tcPr>
          <w:p>
            <w:pPr>
              <w:spacing w:after="30"/>
            </w:pPr>
            <w:r>
              <w:rPr>
                <w:rFonts w:ascii="Liberation Serif" w:hAnsi="Liberation Serif"/>
                <w:sz w:val="17"/>
              </w:rPr>
              <w:t>−½E_surg</w:t>
            </w:r>
          </w:p>
        </w:tc>
        <w:tc>
          <w:tcPr>
            <w:tcW w:type="dxa" w:w="2880"/>
            <w:vAlign w:val="center"/>
          </w:tcPr>
          <w:p>
            <w:pPr>
              <w:spacing w:after="30"/>
            </w:pPr>
            <w:r>
              <w:rPr>
                <w:rFonts w:ascii="Liberation Serif" w:hAnsi="Liberation Serif"/>
                <w:sz w:val="17"/>
              </w:rPr>
              <w:t>Barrieren-/Kompressionslesart</w:t>
            </w:r>
          </w:p>
        </w:tc>
        <w:tc>
          <w:tcPr>
            <w:tcW w:type="dxa" w:w="2880"/>
            <w:vAlign w:val="center"/>
          </w:tcPr>
          <w:p>
            <w:pPr>
              <w:spacing w:after="30"/>
            </w:pPr>
            <w:r>
              <w:rPr>
                <w:rFonts w:ascii="Liberation Serif" w:hAnsi="Liberation Serif"/>
                <w:sz w:val="17"/>
              </w:rPr>
              <w:t>Boltzmann-Entropie</w:t>
            </w:r>
          </w:p>
        </w:tc>
      </w:tr>
      <w:tr>
        <w:tc>
          <w:tcPr>
            <w:tcW w:type="dxa" w:w="1440"/>
            <w:vAlign w:val="center"/>
          </w:tcPr>
          <w:p>
            <w:pPr>
              <w:spacing w:after="30"/>
            </w:pPr>
            <w:r>
              <w:rPr>
                <w:rFonts w:ascii="Liberation Serif" w:hAnsi="Liberation Serif"/>
                <w:sz w:val="17"/>
              </w:rPr>
              <w:t>Tprime</w:t>
            </w:r>
          </w:p>
        </w:tc>
        <w:tc>
          <w:tcPr>
            <w:tcW w:type="dxa" w:w="3024"/>
            <w:vAlign w:val="center"/>
          </w:tcPr>
          <w:p>
            <w:pPr>
              <w:spacing w:after="30"/>
            </w:pPr>
            <w:r>
              <w:rPr>
                <w:rFonts w:ascii="Liberation Serif" w:hAnsi="Liberation Serif"/>
                <w:sz w:val="17"/>
              </w:rPr>
              <w:t>arithmetische Diagonallast</w:t>
            </w:r>
          </w:p>
        </w:tc>
        <w:tc>
          <w:tcPr>
            <w:tcW w:type="dxa" w:w="2880"/>
            <w:vAlign w:val="center"/>
          </w:tcPr>
          <w:p>
            <w:pPr>
              <w:spacing w:after="30"/>
            </w:pPr>
            <w:r>
              <w:rPr>
                <w:rFonts w:ascii="Liberation Serif" w:hAnsi="Liberation Serif"/>
                <w:sz w:val="17"/>
              </w:rPr>
              <w:t>diskreter Quellterm</w:t>
            </w:r>
          </w:p>
        </w:tc>
        <w:tc>
          <w:tcPr>
            <w:tcW w:type="dxa" w:w="2880"/>
            <w:vAlign w:val="center"/>
          </w:tcPr>
          <w:p>
            <w:pPr>
              <w:spacing w:after="30"/>
            </w:pPr>
            <w:r>
              <w:rPr>
                <w:rFonts w:ascii="Liberation Serif" w:hAnsi="Liberation Serif"/>
                <w:sz w:val="17"/>
              </w:rPr>
              <w:t>Energie-Impuls-Tensor</w:t>
            </w:r>
          </w:p>
        </w:tc>
      </w:tr>
      <w:tr>
        <w:tc>
          <w:tcPr>
            <w:tcW w:type="dxa" w:w="1440"/>
            <w:vAlign w:val="center"/>
          </w:tcPr>
          <w:p>
            <w:pPr>
              <w:spacing w:after="30"/>
            </w:pPr>
            <w:r>
              <w:rPr>
                <w:rFonts w:ascii="Liberation Serif" w:hAnsi="Liberation Serif"/>
                <w:sz w:val="17"/>
              </w:rPr>
              <w:t>Gκ</w:t>
            </w:r>
          </w:p>
        </w:tc>
        <w:tc>
          <w:tcPr>
            <w:tcW w:type="dxa" w:w="3024"/>
            <w:vAlign w:val="center"/>
          </w:tcPr>
          <w:p>
            <w:pPr>
              <w:spacing w:after="30"/>
            </w:pPr>
            <w:r>
              <w:rPr>
                <w:rFonts w:ascii="Liberation Serif" w:hAnsi="Liberation Serif"/>
                <w:sz w:val="17"/>
              </w:rPr>
              <w:t>κTprime</w:t>
            </w:r>
          </w:p>
        </w:tc>
        <w:tc>
          <w:tcPr>
            <w:tcW w:type="dxa" w:w="2880"/>
            <w:vAlign w:val="center"/>
          </w:tcPr>
          <w:p>
            <w:pPr>
              <w:spacing w:after="30"/>
            </w:pPr>
            <w:r>
              <w:rPr>
                <w:rFonts w:ascii="Liberation Serif" w:hAnsi="Liberation Serif"/>
                <w:sz w:val="17"/>
              </w:rPr>
              <w:t>interne Feldantwort</w:t>
            </w:r>
          </w:p>
        </w:tc>
        <w:tc>
          <w:tcPr>
            <w:tcW w:type="dxa" w:w="2880"/>
            <w:vAlign w:val="center"/>
          </w:tcPr>
          <w:p>
            <w:pPr>
              <w:spacing w:after="30"/>
            </w:pPr>
            <w:r>
              <w:rPr>
                <w:rFonts w:ascii="Liberation Serif" w:hAnsi="Liberation Serif"/>
                <w:sz w:val="17"/>
              </w:rPr>
              <w:t>Einstein-Tensor</w:t>
            </w:r>
          </w:p>
        </w:tc>
      </w:tr>
    </w:tbl>
    <w:p/>
    <w:p>
      <w:pPr>
        <w:pStyle w:val="Heading1"/>
        <w:keepNext/>
      </w:pPr>
      <w:r>
        <w:t>12. Vier Säulen, Governance und Lean-4-Architektur</w:t>
      </w:r>
    </w:p>
    <w:p>
      <w:pPr>
        <w:pStyle w:val="Heading2"/>
        <w:keepNext/>
      </w:pPr>
      <w:r>
        <w:t>12.1 Säule 1: Semiprime-Bridge</w:t>
      </w:r>
    </w:p>
    <w:p>
      <w:r>
        <w:t>Die erste Säule fixiert 24I₃, die spurfreie Normalform, Intertwining-Klassen und globale Defektakkumulation. Referenzstand: Merge 8052da6 und Freeze-Tag v1.0-semiprime-bridge-frozen.</w:t>
      </w:r>
    </w:p>
    <w:p>
      <w:pPr>
        <w:pStyle w:val="Heading2"/>
        <w:keepNext/>
      </w:pPr>
      <w:r>
        <w:t>12.2 Säule 2: Config-Live</w:t>
      </w:r>
    </w:p>
    <w:p>
      <w:r>
        <w:t>Die zweite Säule klassifiziert die interne Darstellbarkeit. Der zentrale Schnittmengensatz lautet</w:t>
      </w:r>
    </w:p>
    <w:p>
      <w:pPr>
        <w:pStyle w:val="Equation"/>
        <w:jc w:val="center"/>
      </w:pPr>
      <w:r>
        <w:t>im(liveResidual) ∩ im(D_E°) = {0}.</w:t>
      </w:r>
    </w:p>
    <w:p>
      <w:r>
        <w:t>Daraus folgt: allgemeine anisotrope EABC-Defekte sind im bestehenden Config-Typ nicht intern realisierbar. Die externe Kopplung</w:t>
      </w:r>
    </w:p>
    <w:p>
      <w:pPr>
        <w:pStyle w:val="Equation"/>
        <w:jc w:val="center"/>
      </w:pPr>
      <w:r>
        <w:t>M_extended(K,q)=M_eff(K)+D_E°(q)</w:t>
      </w:r>
    </w:p>
    <w:p>
      <w:r>
        <w:t>bewahrt diese Grenze.</w:t>
      </w:r>
    </w:p>
    <w:p>
      <w:pPr>
        <w:pStyle w:val="Heading2"/>
        <w:keepNext/>
      </w:pPr>
      <w:r>
        <w:t>12.3 Säule 3: PNAS ↝ EABC</w:t>
      </w:r>
    </w:p>
    <w:p>
      <w:r>
        <w:t>Die dritte Säule formalisiert eine gerichtete epistemische Strukturkorrespondenz: statische Persistenz, dynamische Persistenz und Neuheitserzeugung werden auf die Ebenen 1–3 abgebildet. 𝒮_E fungiert als funktioneller Selektionsoperator.</w:t>
      </w:r>
    </w:p>
    <w:p>
      <w:pPr>
        <w:pStyle w:val="ClaimBoundary"/>
        <w:keepNext/>
      </w:pPr>
      <w:r>
        <w:rPr>
          <w:b/>
        </w:rPr>
        <w:t xml:space="preserve">CLAIM-GRENZE: </w:t>
      </w:r>
      <w:r>
        <w:t>Die Korrespondenz ist strukturell, nicht ontologisch oder physikalisch.</w:t>
      </w:r>
    </w:p>
    <w:p>
      <w:pPr>
        <w:pStyle w:val="Heading2"/>
        <w:keepNext/>
      </w:pPr>
      <w:r>
        <w:t>12.4 Säule 4: PrimeDefectSource</w:t>
      </w:r>
    </w:p>
    <w:p>
      <w:r>
        <w:t>Die vierte Säule hebt Primdefekte zu diskreten Quelltermen. Sie beweist die interne Feldgleichung, das Quellfreiheitszertifikat und die Löschung unter R*.</w:t>
      </w:r>
    </w:p>
    <w:p>
      <w:pPr>
        <w:pStyle w:val="Equation"/>
        <w:jc w:val="center"/>
      </w:pPr>
      <w:r>
        <w:t>Gκ=κTprime,   Tprime=0⇔PrimeSourceFree,   Tprime(R*K)=0.</w:t>
      </w:r>
    </w:p>
    <w:p>
      <w:pPr>
        <w:pStyle w:val="Heading2"/>
        <w:keepNext/>
      </w:pPr>
      <w:r>
        <w:t>12.5 Zertifikatsfamilien</w:t>
      </w:r>
    </w:p>
    <w:p>
      <w:r>
        <w:t>Oberhalb der vier Säulen stehen TwinRay und TripletOrbit. Sie folgen der Blaupause</w:t>
      </w:r>
    </w:p>
    <w:p>
      <w:pPr>
        <w:pStyle w:val="Equation"/>
        <w:jc w:val="center"/>
      </w:pPr>
      <w:r>
        <w:t>expliziter Zustand → exakte Invarianten → API-Sätze → Darstellbarkeitsklassifikation.</w:t>
      </w:r>
    </w:p>
    <w:p>
      <w:r>
        <w:t>EntropicBarrier ist ein nachgelagertes Spiegel-Zertifikat.</w:t>
      </w:r>
    </w:p>
    <w:p>
      <w:pPr>
        <w:pStyle w:val="Heading2"/>
        <w:keepNext/>
      </w:pPr>
      <w:r>
        <w:t>12.6 Pfeil-Governance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234E70"/>
            <w:vAlign w:val="center"/>
          </w:tcPr>
          <w:p>
            <w:r>
              <w:rPr>
                <w:rFonts w:ascii="Liberation Sans" w:hAnsi="Liberation Sans"/>
                <w:b/>
                <w:color w:val="FFFFFF"/>
                <w:sz w:val="17"/>
              </w:rPr>
              <w:t>Pfeil</w:t>
            </w:r>
          </w:p>
        </w:tc>
        <w:tc>
          <w:tcPr>
            <w:tcW w:type="dxa" w:w="3264"/>
            <w:shd w:fill="234E70"/>
            <w:vAlign w:val="center"/>
          </w:tcPr>
          <w:p>
            <w:r>
              <w:rPr>
                <w:rFonts w:ascii="Liberation Sans" w:hAnsi="Liberation Sans"/>
                <w:b/>
                <w:color w:val="FFFFFF"/>
                <w:sz w:val="17"/>
              </w:rPr>
              <w:t>Lean-Träger</w:t>
            </w:r>
          </w:p>
        </w:tc>
        <w:tc>
          <w:tcPr>
            <w:tcW w:type="dxa" w:w="3264"/>
            <w:shd w:fill="234E70"/>
            <w:vAlign w:val="center"/>
          </w:tcPr>
          <w:p>
            <w:r>
              <w:rPr>
                <w:rFonts w:ascii="Liberation Sans" w:hAnsi="Liberation Sans"/>
                <w:b/>
                <w:color w:val="FFFFFF"/>
                <w:sz w:val="17"/>
              </w:rPr>
              <w:t>Bedeutung</w:t>
            </w:r>
          </w:p>
        </w:tc>
      </w:tr>
      <w:tr>
        <w:tc>
          <w:tcPr>
            <w:tcW w:type="dxa" w:w="3264"/>
            <w:vAlign w:val="center"/>
          </w:tcPr>
          <w:p>
            <w:pPr>
              <w:spacing w:after="30"/>
            </w:pPr>
            <w:r>
              <w:rPr>
                <w:rFonts w:ascii="Liberation Serif" w:hAnsi="Liberation Serif"/>
                <w:sz w:val="17"/>
              </w:rPr>
              <w:t>→</w:t>
            </w:r>
          </w:p>
        </w:tc>
        <w:tc>
          <w:tcPr>
            <w:tcW w:type="dxa" w:w="3264"/>
            <w:vAlign w:val="center"/>
          </w:tcPr>
          <w:p>
            <w:pPr>
              <w:spacing w:after="30"/>
            </w:pPr>
            <w:r>
              <w:rPr>
                <w:rFonts w:ascii="Liberation Serif" w:hAnsi="Liberation Serif"/>
                <w:sz w:val="17"/>
              </w:rPr>
              <w:t>shared_isotropic_live_kernel und konkrete Theoreme</w:t>
            </w:r>
          </w:p>
        </w:tc>
        <w:tc>
          <w:tcPr>
            <w:tcW w:type="dxa" w:w="3264"/>
            <w:vAlign w:val="center"/>
          </w:tcPr>
          <w:p>
            <w:pPr>
              <w:spacing w:after="30"/>
            </w:pPr>
            <w:r>
              <w:rPr>
                <w:rFonts w:ascii="Liberation Serif" w:hAnsi="Liberation Serif"/>
                <w:sz w:val="17"/>
              </w:rPr>
              <w:t>formal bewiesen</w:t>
            </w:r>
          </w:p>
        </w:tc>
      </w:tr>
      <w:tr>
        <w:tc>
          <w:tcPr>
            <w:tcW w:type="dxa" w:w="3264"/>
            <w:vAlign w:val="center"/>
          </w:tcPr>
          <w:p>
            <w:pPr>
              <w:spacing w:after="30"/>
            </w:pPr>
            <w:r>
              <w:rPr>
                <w:rFonts w:ascii="Liberation Serif" w:hAnsi="Liberation Serif"/>
                <w:sz w:val="17"/>
              </w:rPr>
              <w:t>↝</w:t>
            </w:r>
          </w:p>
        </w:tc>
        <w:tc>
          <w:tcPr>
            <w:tcW w:type="dxa" w:w="3264"/>
            <w:vAlign w:val="center"/>
          </w:tcPr>
          <w:p>
            <w:pPr>
              <w:spacing w:after="30"/>
            </w:pPr>
            <w:r>
              <w:rPr>
                <w:rFonts w:ascii="Liberation Serif" w:hAnsi="Liberation Serif"/>
                <w:sz w:val="17"/>
              </w:rPr>
              <w:t>*Reading-Deskriptoren</w:t>
            </w:r>
          </w:p>
        </w:tc>
        <w:tc>
          <w:tcPr>
            <w:tcW w:type="dxa" w:w="3264"/>
            <w:vAlign w:val="center"/>
          </w:tcPr>
          <w:p>
            <w:pPr>
              <w:spacing w:after="30"/>
            </w:pPr>
            <w:r>
              <w:rPr>
                <w:rFonts w:ascii="Liberation Serif" w:hAnsi="Liberation Serif"/>
                <w:sz w:val="17"/>
              </w:rPr>
              <w:t>Formtyp ohne Objektidentität</w:t>
            </w:r>
          </w:p>
        </w:tc>
      </w:tr>
      <w:tr>
        <w:tc>
          <w:tcPr>
            <w:tcW w:type="dxa" w:w="3264"/>
            <w:vAlign w:val="center"/>
          </w:tcPr>
          <w:p>
            <w:pPr>
              <w:spacing w:after="30"/>
            </w:pPr>
            <w:r>
              <w:rPr>
                <w:rFonts w:ascii="Liberation Serif" w:hAnsi="Liberation Serif"/>
                <w:sz w:val="17"/>
              </w:rPr>
              <w:t>⇢</w:t>
            </w:r>
          </w:p>
        </w:tc>
        <w:tc>
          <w:tcPr>
            <w:tcW w:type="dxa" w:w="3264"/>
            <w:vAlign w:val="center"/>
          </w:tcPr>
          <w:p>
            <w:pPr>
              <w:spacing w:after="30"/>
            </w:pPr>
            <w:r>
              <w:rPr>
                <w:rFonts w:ascii="Liberation Serif" w:hAnsi="Liberation Serif"/>
                <w:sz w:val="17"/>
              </w:rPr>
              <w:t>offene Brückenmodule</w:t>
            </w:r>
          </w:p>
        </w:tc>
        <w:tc>
          <w:tcPr>
            <w:tcW w:type="dxa" w:w="3264"/>
            <w:vAlign w:val="center"/>
          </w:tcPr>
          <w:p>
            <w:pPr>
              <w:spacing w:after="30"/>
            </w:pPr>
            <w:r>
              <w:rPr>
                <w:rFonts w:ascii="Liberation Serif" w:hAnsi="Liberation Serif"/>
                <w:sz w:val="17"/>
              </w:rPr>
              <w:t>Hypothesenrichtung</w:t>
            </w:r>
          </w:p>
        </w:tc>
      </w:tr>
      <w:tr>
        <w:tc>
          <w:tcPr>
            <w:tcW w:type="dxa" w:w="3264"/>
            <w:vAlign w:val="center"/>
          </w:tcPr>
          <w:p>
            <w:pPr>
              <w:spacing w:after="30"/>
            </w:pPr>
            <w:r>
              <w:rPr>
                <w:rFonts w:ascii="Liberation Serif" w:hAnsi="Liberation Serif"/>
                <w:sz w:val="17"/>
              </w:rPr>
              <w:t>⊣</w:t>
            </w:r>
          </w:p>
        </w:tc>
        <w:tc>
          <w:tcPr>
            <w:tcW w:type="dxa" w:w="3264"/>
            <w:vAlign w:val="center"/>
          </w:tcPr>
          <w:p>
            <w:pPr>
              <w:spacing w:after="30"/>
            </w:pPr>
            <w:r>
              <w:rPr>
                <w:rFonts w:ascii="Liberation Serif" w:hAnsi="Liberation Serif"/>
                <w:sz w:val="17"/>
              </w:rPr>
              <w:t>Shields / non_claims_are_disproven</w:t>
            </w:r>
          </w:p>
        </w:tc>
        <w:tc>
          <w:tcPr>
            <w:tcW w:type="dxa" w:w="3264"/>
            <w:vAlign w:val="center"/>
          </w:tcPr>
          <w:p>
            <w:pPr>
              <w:spacing w:after="30"/>
            </w:pPr>
            <w:r>
              <w:rPr>
                <w:rFonts w:ascii="Liberation Serif" w:hAnsi="Liberation Serif"/>
                <w:sz w:val="17"/>
              </w:rPr>
              <w:t>Identifikation ausgeschlossen</w:t>
            </w:r>
          </w:p>
        </w:tc>
      </w:tr>
    </w:tbl>
    <w:p/>
    <w:p>
      <w:pPr>
        <w:pStyle w:val="Heading2"/>
        <w:keepNext/>
      </w:pPr>
      <w:r>
        <w:t>12.7 Lean als epistemisches Werkzeug</w:t>
      </w:r>
    </w:p>
    <w:p>
      <w:r>
        <w:t>Lean dient nicht nur zur Fehlerkontrolle. Die Typen erzwingen die Trennung verschiedener Operatoren und Räume: R_Q* wirkt auf Zuständen, R_M* auf Tensoren; Tprime und D_E° sind verschiedene Terme; Live-Realisierung und externe Kopplung sind verschiedene Prädikate. Die formale Architektur verhindert damit semantische Abkürzungen, die in rein narrativen Modellen leicht unbemerkt bleiben.</w:t>
      </w:r>
    </w:p>
    <w:p>
      <w:pPr>
        <w:pStyle w:val="Heading1"/>
        <w:keepNext/>
      </w:pPr>
      <w:r>
        <w:t>13. Entropische Barriere und weitere Forschungsprogramme</w:t>
      </w:r>
    </w:p>
    <w:p>
      <w:pPr>
        <w:pStyle w:val="Heading2"/>
        <w:keepNext/>
      </w:pPr>
      <w:r>
        <w:t>13.1 Dynamisierung der Barriere</w:t>
      </w:r>
    </w:p>
    <w:p>
      <w:r>
        <w:t>Für eine kontraktive anisotrope Dynamik R_α mit</w:t>
      </w:r>
    </w:p>
    <w:p>
      <w:pPr>
        <w:pStyle w:val="Equation"/>
        <w:jc w:val="center"/>
      </w:pPr>
      <w:r>
        <w:t>P_aniso(R_αq)=αP_aniso(q)</w:t>
      </w:r>
    </w:p>
    <w:p>
      <w:r>
        <w:t>folgt</w:t>
      </w:r>
    </w:p>
    <w:p>
      <w:pPr>
        <w:pStyle w:val="Equation"/>
        <w:jc w:val="center"/>
      </w:pPr>
      <w:r>
        <w:t>E_surg(R_αq)=α²E_surg(q),</w:t>
      </w:r>
    </w:p>
    <w:p>
      <w:pPr>
        <w:pStyle w:val="Equation"/>
        <w:jc w:val="center"/>
      </w:pPr>
      <w:r>
        <w:t>ΔS_barrier(R_αq)=α²ΔS_barrier(q).</w:t>
      </w:r>
    </w:p>
    <w:p>
      <w:r>
        <w:t>Für |α|&lt;1 konvergiert die Barriere gegen null. Dies ist eine mathematische Attraktoraussage, noch keine irreversible Thermodynamik.</w:t>
      </w:r>
    </w:p>
    <w:p>
      <w:pPr>
        <w:pStyle w:val="Heading2"/>
        <w:keepNext/>
      </w:pPr>
      <w:r>
        <w:t>13.2 Vollständige binäre Kanalklassifikation</w:t>
      </w:r>
    </w:p>
    <w:p>
      <w:r>
        <w:t>Der natürliche nächste Klassifikationssatz betrifft alle acht Zustände q∈{0,1}³. Sie zerfallen nach Hamming-Gewicht in zwei Fixpunkte und zwei C₃-Orbits:</w:t>
      </w:r>
    </w:p>
    <w:p>
      <w:pPr>
        <w:pStyle w:val="Equation"/>
        <w:jc w:val="center"/>
      </w:pPr>
      <w:r>
        <w:t>{000} ⊔ {100,010,001} ⊔ {110,101,011} ⊔ {111}.</w:t>
      </w:r>
    </w:p>
    <w:p>
      <w:r>
        <w:t>Für die beiden Fixpunkte gilt E_surg=0; für alle sechs anisotropen Zustände E_surg=2/3. Die Komplementabbildung vertauscht die beiden Orbits.</w:t>
      </w:r>
    </w:p>
    <w:p>
      <w:pPr>
        <w:pStyle w:val="Heading2"/>
        <w:keepNext/>
      </w:pPr>
      <w:r>
        <w:t>13.3 Paar-Dynamik</w:t>
      </w:r>
    </w:p>
    <w:p>
      <w:r>
        <w:t>Die externe Architektur legt einen erweiterten Zustand (K,q) nahe:</w:t>
      </w:r>
    </w:p>
    <w:p>
      <w:pPr>
        <w:pStyle w:val="Equation"/>
        <w:jc w:val="center"/>
      </w:pPr>
      <w:r>
        <w:t>(K,q) ↦ (R* K, R_Q q).</w:t>
      </w:r>
    </w:p>
    <w:p>
      <w:r>
        <w:t>Dann wird die Live-Primquelle gelöscht, während der externe Defekt seiner eigenen Dynamik folgt. Ein zentraler zukünftiger Satz wäre</w:t>
      </w:r>
    </w:p>
    <w:p>
      <w:pPr>
        <w:pStyle w:val="Equation"/>
        <w:jc w:val="center"/>
      </w:pPr>
      <w:r>
        <w:t>M_extended(R*K,R_Qq)=24I₃+D_E°(R_Qq),   Gκ(R*K)=0.</w:t>
      </w:r>
    </w:p>
    <w:p>
      <w:pPr>
        <w:pStyle w:val="Heading2"/>
        <w:keepNext/>
      </w:pPr>
      <w:r>
        <w:t>13.4 Basisunabhängiger E8-Kopplungsscore</w:t>
      </w:r>
    </w:p>
    <w:p>
      <w:r>
        <w:t>Bevor eine geometrisch-arithmetische E8-Hypothese numerisch getestet werden kann, muss ein basisunabhängiger Score definiert werden. Er sollte mindestens unter orthogonalen Basiswechseln invariant sein, lokale Packungsinformation von bloßer Koordinatenwahl trennen und eine klare Nullhypothese besitzen.</w:t>
      </w:r>
    </w:p>
    <w:p>
      <w:pPr>
        <w:pStyle w:val="Heading2"/>
        <w:keepNext/>
      </w:pPr>
      <w:r>
        <w:t>13.5 Numerische Ebene</w:t>
      </w:r>
    </w:p>
    <w:p>
      <w:r>
        <w:t>Lean liefert exakte Klassifikation und Algebra. Python oder Sage übernehmen die empirische Ebene: Primkonstellationen, Häufigkeiten, Nullmodelle, Spektren und Konfidenzintervalle. Die Grenze zwischen Beweis und Datenbefund muss in jedem Resultat sichtbar bleiben.</w:t>
      </w:r>
    </w:p>
    <w:p>
      <w:pPr>
        <w:pStyle w:val="Heading1"/>
        <w:keepNext/>
      </w:pPr>
      <w:r>
        <w:t>Anhang A. Projektchronologie und Referenzstände</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fill="234E70"/>
            <w:vAlign w:val="center"/>
          </w:tcPr>
          <w:p>
            <w:r>
              <w:rPr>
                <w:rFonts w:ascii="Liberation Sans" w:hAnsi="Liberation Sans"/>
                <w:b/>
                <w:color w:val="FFFFFF"/>
                <w:sz w:val="17"/>
              </w:rPr>
              <w:t>Stufe</w:t>
            </w:r>
          </w:p>
        </w:tc>
        <w:tc>
          <w:tcPr>
            <w:tcW w:type="dxa" w:w="6048"/>
            <w:shd w:fill="234E70"/>
            <w:vAlign w:val="center"/>
          </w:tcPr>
          <w:p>
            <w:r>
              <w:rPr>
                <w:rFonts w:ascii="Liberation Sans" w:hAnsi="Liberation Sans"/>
                <w:b/>
                <w:color w:val="FFFFFF"/>
                <w:sz w:val="17"/>
              </w:rPr>
              <w:t>Kernresultat</w:t>
            </w:r>
          </w:p>
        </w:tc>
        <w:tc>
          <w:tcPr>
            <w:tcW w:type="dxa" w:w="2016"/>
            <w:shd w:fill="234E70"/>
            <w:vAlign w:val="center"/>
          </w:tcPr>
          <w:p>
            <w:r>
              <w:rPr>
                <w:rFonts w:ascii="Liberation Sans" w:hAnsi="Liberation Sans"/>
                <w:b/>
                <w:color w:val="FFFFFF"/>
                <w:sz w:val="17"/>
              </w:rPr>
              <w:t>Referenz</w:t>
            </w:r>
          </w:p>
        </w:tc>
      </w:tr>
      <w:tr>
        <w:tc>
          <w:tcPr>
            <w:tcW w:type="dxa" w:w="2016"/>
            <w:vAlign w:val="center"/>
          </w:tcPr>
          <w:p>
            <w:pPr>
              <w:spacing w:after="30"/>
            </w:pPr>
            <w:r>
              <w:rPr>
                <w:rFonts w:ascii="Liberation Serif" w:hAnsi="Liberation Serif"/>
                <w:sz w:val="17"/>
              </w:rPr>
              <w:t>Semiprime-Bridge</w:t>
            </w:r>
          </w:p>
        </w:tc>
        <w:tc>
          <w:tcPr>
            <w:tcW w:type="dxa" w:w="6048"/>
            <w:vAlign w:val="center"/>
          </w:tcPr>
          <w:p>
            <w:pPr>
              <w:spacing w:after="30"/>
            </w:pPr>
            <w:r>
              <w:rPr>
                <w:rFonts w:ascii="Liberation Serif" w:hAnsi="Liberation Serif"/>
                <w:sz w:val="17"/>
              </w:rPr>
              <w:t>24I₃, Intertwining, globale Defektakkumulation</w:t>
            </w:r>
          </w:p>
        </w:tc>
        <w:tc>
          <w:tcPr>
            <w:tcW w:type="dxa" w:w="2016"/>
            <w:vAlign w:val="center"/>
          </w:tcPr>
          <w:p>
            <w:pPr>
              <w:spacing w:after="30"/>
            </w:pPr>
            <w:r>
              <w:rPr>
                <w:rFonts w:ascii="Liberation Serif" w:hAnsi="Liberation Serif"/>
                <w:sz w:val="17"/>
              </w:rPr>
              <w:t>8052da6</w:t>
            </w:r>
          </w:p>
        </w:tc>
      </w:tr>
      <w:tr>
        <w:tc>
          <w:tcPr>
            <w:tcW w:type="dxa" w:w="2016"/>
            <w:vAlign w:val="center"/>
          </w:tcPr>
          <w:p>
            <w:pPr>
              <w:spacing w:after="30"/>
            </w:pPr>
            <w:r>
              <w:rPr>
                <w:rFonts w:ascii="Liberation Serif" w:hAnsi="Liberation Serif"/>
                <w:sz w:val="17"/>
              </w:rPr>
              <w:t>Config-Live</w:t>
            </w:r>
          </w:p>
        </w:tc>
        <w:tc>
          <w:tcPr>
            <w:tcW w:type="dxa" w:w="6048"/>
            <w:vAlign w:val="center"/>
          </w:tcPr>
          <w:p>
            <w:pPr>
              <w:spacing w:after="30"/>
            </w:pPr>
            <w:r>
              <w:rPr>
                <w:rFonts w:ascii="Liberation Serif" w:hAnsi="Liberation Serif"/>
                <w:sz w:val="17"/>
              </w:rPr>
              <w:t>isotrope Realisierbarkeit; Schnittmenge {0}</w:t>
            </w:r>
          </w:p>
        </w:tc>
        <w:tc>
          <w:tcPr>
            <w:tcW w:type="dxa" w:w="2016"/>
            <w:vAlign w:val="center"/>
          </w:tcPr>
          <w:p>
            <w:pPr>
              <w:spacing w:after="30"/>
            </w:pPr>
            <w:r>
              <w:rPr>
                <w:rFonts w:ascii="Liberation Serif" w:hAnsi="Liberation Serif"/>
                <w:sz w:val="17"/>
              </w:rPr>
              <w:t>PR #10</w:t>
            </w:r>
          </w:p>
        </w:tc>
      </w:tr>
      <w:tr>
        <w:tc>
          <w:tcPr>
            <w:tcW w:type="dxa" w:w="2016"/>
            <w:vAlign w:val="center"/>
          </w:tcPr>
          <w:p>
            <w:pPr>
              <w:spacing w:after="30"/>
            </w:pPr>
            <w:r>
              <w:rPr>
                <w:rFonts w:ascii="Liberation Serif" w:hAnsi="Liberation Serif"/>
                <w:sz w:val="17"/>
              </w:rPr>
              <w:t>PNAS↝EABC</w:t>
            </w:r>
          </w:p>
        </w:tc>
        <w:tc>
          <w:tcPr>
            <w:tcW w:type="dxa" w:w="6048"/>
            <w:vAlign w:val="center"/>
          </w:tcPr>
          <w:p>
            <w:pPr>
              <w:spacing w:after="30"/>
            </w:pPr>
            <w:r>
              <w:rPr>
                <w:rFonts w:ascii="Liberation Serif" w:hAnsi="Liberation Serif"/>
                <w:sz w:val="17"/>
              </w:rPr>
              <w:t>Static/Dynamic/Novelty; Shield</w:t>
            </w:r>
          </w:p>
        </w:tc>
        <w:tc>
          <w:tcPr>
            <w:tcW w:type="dxa" w:w="2016"/>
            <w:vAlign w:val="center"/>
          </w:tcPr>
          <w:p>
            <w:pPr>
              <w:spacing w:after="30"/>
            </w:pPr>
            <w:r>
              <w:rPr>
                <w:rFonts w:ascii="Liberation Serif" w:hAnsi="Liberation Serif"/>
                <w:sz w:val="17"/>
              </w:rPr>
              <w:t>91684e8</w:t>
            </w:r>
          </w:p>
        </w:tc>
      </w:tr>
      <w:tr>
        <w:tc>
          <w:tcPr>
            <w:tcW w:type="dxa" w:w="2016"/>
            <w:vAlign w:val="center"/>
          </w:tcPr>
          <w:p>
            <w:pPr>
              <w:spacing w:after="30"/>
            </w:pPr>
            <w:r>
              <w:rPr>
                <w:rFonts w:ascii="Liberation Serif" w:hAnsi="Liberation Serif"/>
                <w:sz w:val="17"/>
              </w:rPr>
              <w:t>PrimeDefectSource</w:t>
            </w:r>
          </w:p>
        </w:tc>
        <w:tc>
          <w:tcPr>
            <w:tcW w:type="dxa" w:w="6048"/>
            <w:vAlign w:val="center"/>
          </w:tcPr>
          <w:p>
            <w:pPr>
              <w:spacing w:after="30"/>
            </w:pPr>
            <w:r>
              <w:rPr>
                <w:rFonts w:ascii="Liberation Serif" w:hAnsi="Liberation Serif"/>
                <w:sz w:val="17"/>
              </w:rPr>
              <w:t>Gκ=κT; Quellfreiheit; R*-Löschung</w:t>
            </w:r>
          </w:p>
        </w:tc>
        <w:tc>
          <w:tcPr>
            <w:tcW w:type="dxa" w:w="2016"/>
            <w:vAlign w:val="center"/>
          </w:tcPr>
          <w:p>
            <w:pPr>
              <w:spacing w:after="30"/>
            </w:pPr>
            <w:r>
              <w:rPr>
                <w:rFonts w:ascii="Liberation Serif" w:hAnsi="Liberation Serif"/>
                <w:sz w:val="17"/>
              </w:rPr>
              <w:t>117556d</w:t>
            </w:r>
          </w:p>
        </w:tc>
      </w:tr>
      <w:tr>
        <w:tc>
          <w:tcPr>
            <w:tcW w:type="dxa" w:w="2016"/>
            <w:vAlign w:val="center"/>
          </w:tcPr>
          <w:p>
            <w:pPr>
              <w:spacing w:after="30"/>
            </w:pPr>
            <w:r>
              <w:rPr>
                <w:rFonts w:ascii="Liberation Serif" w:hAnsi="Liberation Serif"/>
                <w:sz w:val="17"/>
              </w:rPr>
              <w:t>FourPillarsConnector</w:t>
            </w:r>
          </w:p>
        </w:tc>
        <w:tc>
          <w:tcPr>
            <w:tcW w:type="dxa" w:w="6048"/>
            <w:vAlign w:val="center"/>
          </w:tcPr>
          <w:p>
            <w:pPr>
              <w:spacing w:after="30"/>
            </w:pPr>
            <w:r>
              <w:rPr>
                <w:rFonts w:ascii="Liberation Serif" w:hAnsi="Liberation Serif"/>
                <w:sz w:val="17"/>
              </w:rPr>
              <w:t>gemeinsame Integrationssätze</w:t>
            </w:r>
          </w:p>
        </w:tc>
        <w:tc>
          <w:tcPr>
            <w:tcW w:type="dxa" w:w="2016"/>
            <w:vAlign w:val="center"/>
          </w:tcPr>
          <w:p>
            <w:pPr>
              <w:spacing w:after="30"/>
            </w:pPr>
            <w:r>
              <w:rPr>
                <w:rFonts w:ascii="Liberation Serif" w:hAnsi="Liberation Serif"/>
                <w:sz w:val="17"/>
              </w:rPr>
              <w:t>PR #14</w:t>
            </w:r>
          </w:p>
        </w:tc>
      </w:tr>
      <w:tr>
        <w:tc>
          <w:tcPr>
            <w:tcW w:type="dxa" w:w="2016"/>
            <w:vAlign w:val="center"/>
          </w:tcPr>
          <w:p>
            <w:pPr>
              <w:spacing w:after="30"/>
            </w:pPr>
            <w:r>
              <w:rPr>
                <w:rFonts w:ascii="Liberation Serif" w:hAnsi="Liberation Serif"/>
                <w:sz w:val="17"/>
              </w:rPr>
              <w:t>TwinRay</w:t>
            </w:r>
          </w:p>
        </w:tc>
        <w:tc>
          <w:tcPr>
            <w:tcW w:type="dxa" w:w="6048"/>
            <w:vAlign w:val="center"/>
          </w:tcPr>
          <w:p>
            <w:pPr>
              <w:spacing w:after="30"/>
            </w:pPr>
            <w:r>
              <w:rPr>
                <w:rFonts w:ascii="Liberation Serif" w:hAnsi="Liberation Serif"/>
                <w:sz w:val="17"/>
              </w:rPr>
              <w:t>Z₂-Orientierungsdualität</w:t>
            </w:r>
          </w:p>
        </w:tc>
        <w:tc>
          <w:tcPr>
            <w:tcW w:type="dxa" w:w="2016"/>
            <w:vAlign w:val="center"/>
          </w:tcPr>
          <w:p>
            <w:pPr>
              <w:spacing w:after="30"/>
            </w:pPr>
            <w:r>
              <w:rPr>
                <w:rFonts w:ascii="Liberation Serif" w:hAnsi="Liberation Serif"/>
                <w:sz w:val="17"/>
              </w:rPr>
              <w:t>86356d5</w:t>
            </w:r>
          </w:p>
        </w:tc>
      </w:tr>
      <w:tr>
        <w:tc>
          <w:tcPr>
            <w:tcW w:type="dxa" w:w="2016"/>
            <w:vAlign w:val="center"/>
          </w:tcPr>
          <w:p>
            <w:pPr>
              <w:spacing w:after="30"/>
            </w:pPr>
            <w:r>
              <w:rPr>
                <w:rFonts w:ascii="Liberation Serif" w:hAnsi="Liberation Serif"/>
                <w:sz w:val="17"/>
              </w:rPr>
              <w:t>TripletOrbit</w:t>
            </w:r>
          </w:p>
        </w:tc>
        <w:tc>
          <w:tcPr>
            <w:tcW w:type="dxa" w:w="6048"/>
            <w:vAlign w:val="center"/>
          </w:tcPr>
          <w:p>
            <w:pPr>
              <w:spacing w:after="30"/>
            </w:pPr>
            <w:r>
              <w:rPr>
                <w:rFonts w:ascii="Liberation Serif" w:hAnsi="Liberation Serif"/>
                <w:sz w:val="17"/>
              </w:rPr>
              <w:t>C₃-Orbit plus isotroper Fixpunkt</w:t>
            </w:r>
          </w:p>
        </w:tc>
        <w:tc>
          <w:tcPr>
            <w:tcW w:type="dxa" w:w="2016"/>
            <w:vAlign w:val="center"/>
          </w:tcPr>
          <w:p>
            <w:pPr>
              <w:spacing w:after="30"/>
            </w:pPr>
            <w:r>
              <w:rPr>
                <w:rFonts w:ascii="Liberation Serif" w:hAnsi="Liberation Serif"/>
                <w:sz w:val="17"/>
              </w:rPr>
              <w:t>8193128</w:t>
            </w:r>
          </w:p>
        </w:tc>
      </w:tr>
      <w:tr>
        <w:tc>
          <w:tcPr>
            <w:tcW w:type="dxa" w:w="2016"/>
            <w:vAlign w:val="center"/>
          </w:tcPr>
          <w:p>
            <w:pPr>
              <w:spacing w:after="30"/>
            </w:pPr>
            <w:r>
              <w:rPr>
                <w:rFonts w:ascii="Liberation Serif" w:hAnsi="Liberation Serif"/>
                <w:sz w:val="17"/>
              </w:rPr>
              <w:t>Governance Bridge</w:t>
            </w:r>
          </w:p>
        </w:tc>
        <w:tc>
          <w:tcPr>
            <w:tcW w:type="dxa" w:w="6048"/>
            <w:vAlign w:val="center"/>
          </w:tcPr>
          <w:p>
            <w:pPr>
              <w:spacing w:after="30"/>
            </w:pPr>
            <w:r>
              <w:rPr>
                <w:rFonts w:ascii="Liberation Serif" w:hAnsi="Liberation Serif"/>
                <w:sz w:val="17"/>
              </w:rPr>
              <w:t>→ / ↝ / ⇢ / ⊣</w:t>
            </w:r>
          </w:p>
        </w:tc>
        <w:tc>
          <w:tcPr>
            <w:tcW w:type="dxa" w:w="2016"/>
            <w:vAlign w:val="center"/>
          </w:tcPr>
          <w:p>
            <w:pPr>
              <w:spacing w:after="30"/>
            </w:pPr>
            <w:r>
              <w:rPr>
                <w:rFonts w:ascii="Liberation Serif" w:hAnsi="Liberation Serif"/>
                <w:sz w:val="17"/>
              </w:rPr>
              <w:t>ca48227 / 5367849</w:t>
            </w:r>
          </w:p>
        </w:tc>
      </w:tr>
      <w:tr>
        <w:tc>
          <w:tcPr>
            <w:tcW w:type="dxa" w:w="2016"/>
            <w:vAlign w:val="center"/>
          </w:tcPr>
          <w:p>
            <w:pPr>
              <w:spacing w:after="30"/>
            </w:pPr>
            <w:r>
              <w:rPr>
                <w:rFonts w:ascii="Liberation Serif" w:hAnsi="Liberation Serif"/>
                <w:sz w:val="17"/>
              </w:rPr>
              <w:t>EntropicBarrier</w:t>
            </w:r>
          </w:p>
        </w:tc>
        <w:tc>
          <w:tcPr>
            <w:tcW w:type="dxa" w:w="6048"/>
            <w:vAlign w:val="center"/>
          </w:tcPr>
          <w:p>
            <w:pPr>
              <w:spacing w:after="30"/>
            </w:pPr>
            <w:r>
              <w:rPr>
                <w:rFonts w:ascii="Liberation Serif" w:hAnsi="Liberation Serif"/>
                <w:sz w:val="17"/>
              </w:rPr>
              <w:t>Spiegel-Zertifikat −½E_surg</w:t>
            </w:r>
          </w:p>
        </w:tc>
        <w:tc>
          <w:tcPr>
            <w:tcW w:type="dxa" w:w="2016"/>
            <w:vAlign w:val="center"/>
          </w:tcPr>
          <w:p>
            <w:pPr>
              <w:spacing w:after="30"/>
            </w:pPr>
            <w:r>
              <w:rPr>
                <w:rFonts w:ascii="Liberation Serif" w:hAnsi="Liberation Serif"/>
                <w:sz w:val="17"/>
              </w:rPr>
              <w:t>c2afbe7</w:t>
            </w:r>
          </w:p>
        </w:tc>
      </w:tr>
    </w:tbl>
    <w:p/>
    <w:p>
      <w:pPr>
        <w:pStyle w:val="Heading1"/>
        <w:keepNext/>
      </w:pPr>
      <w:r>
        <w:t>Anhang B. Symbolverzeichnis</w:t>
      </w:r>
    </w:p>
    <w:tbl>
      <w:tblPr>
        <w:tblStyle w:val="TableGrid"/>
        <w:tblW w:type="auto" w:w="0"/>
        <w:jc w:val="center"/>
        <w:tblLook w:firstColumn="1" w:firstRow="1" w:lastColumn="0" w:lastRow="0" w:noHBand="0" w:noVBand="1" w:val="04A0"/>
      </w:tblPr>
      <w:tblGrid>
        <w:gridCol w:w="4896"/>
        <w:gridCol w:w="4896"/>
      </w:tblGrid>
      <w:tr>
        <w:tc>
          <w:tcPr>
            <w:tcW w:type="dxa" w:w="2016"/>
            <w:shd w:fill="234E70"/>
            <w:vAlign w:val="center"/>
          </w:tcPr>
          <w:p>
            <w:r>
              <w:rPr>
                <w:rFonts w:ascii="Liberation Sans" w:hAnsi="Liberation Sans"/>
                <w:b/>
                <w:color w:val="FFFFFF"/>
                <w:sz w:val="17"/>
              </w:rPr>
              <w:t>Symbol</w:t>
            </w:r>
          </w:p>
        </w:tc>
        <w:tc>
          <w:tcPr>
            <w:tcW w:type="dxa" w:w="8208"/>
            <w:shd w:fill="234E70"/>
            <w:vAlign w:val="center"/>
          </w:tcPr>
          <w:p>
            <w:r>
              <w:rPr>
                <w:rFonts w:ascii="Liberation Sans" w:hAnsi="Liberation Sans"/>
                <w:b/>
                <w:color w:val="FFFFFF"/>
                <w:sz w:val="17"/>
              </w:rPr>
              <w:t>Bedeutung</w:t>
            </w:r>
          </w:p>
        </w:tc>
      </w:tr>
      <w:tr>
        <w:tc>
          <w:tcPr>
            <w:tcW w:type="dxa" w:w="2016"/>
            <w:vAlign w:val="center"/>
          </w:tcPr>
          <w:p>
            <w:pPr>
              <w:spacing w:after="30"/>
            </w:pPr>
            <w:r>
              <w:rPr>
                <w:rFonts w:ascii="Liberation Serif" w:hAnsi="Liberation Serif"/>
                <w:sz w:val="17"/>
              </w:rPr>
              <w:t>U(12)</w:t>
            </w:r>
          </w:p>
        </w:tc>
        <w:tc>
          <w:tcPr>
            <w:tcW w:type="dxa" w:w="8208"/>
            <w:vAlign w:val="center"/>
          </w:tcPr>
          <w:p>
            <w:pPr>
              <w:spacing w:after="30"/>
            </w:pPr>
            <w:r>
              <w:rPr>
                <w:rFonts w:ascii="Liberation Serif" w:hAnsi="Liberation Serif"/>
                <w:sz w:val="17"/>
              </w:rPr>
              <w:t>Einheitengruppe modulo 12, isomorph zu V₄</w:t>
            </w:r>
          </w:p>
        </w:tc>
      </w:tr>
      <w:tr>
        <w:tc>
          <w:tcPr>
            <w:tcW w:type="dxa" w:w="2016"/>
            <w:vAlign w:val="center"/>
          </w:tcPr>
          <w:p>
            <w:pPr>
              <w:spacing w:after="30"/>
            </w:pPr>
            <w:r>
              <w:rPr>
                <w:rFonts w:ascii="Liberation Serif" w:hAnsi="Liberation Serif"/>
                <w:sz w:val="17"/>
              </w:rPr>
              <w:t>A,B,C,E</w:t>
            </w:r>
          </w:p>
        </w:tc>
        <w:tc>
          <w:tcPr>
            <w:tcW w:type="dxa" w:w="8208"/>
            <w:vAlign w:val="center"/>
          </w:tcPr>
          <w:p>
            <w:pPr>
              <w:spacing w:after="30"/>
            </w:pPr>
            <w:r>
              <w:rPr>
                <w:rFonts w:ascii="Liberation Serif" w:hAnsi="Liberation Serif"/>
                <w:sz w:val="17"/>
              </w:rPr>
              <w:t>Restklassen 5,7,11,1 modulo 12</w:t>
            </w:r>
          </w:p>
        </w:tc>
      </w:tr>
      <w:tr>
        <w:tc>
          <w:tcPr>
            <w:tcW w:type="dxa" w:w="2016"/>
            <w:vAlign w:val="center"/>
          </w:tcPr>
          <w:p>
            <w:pPr>
              <w:spacing w:after="30"/>
            </w:pPr>
            <w:r>
              <w:rPr>
                <w:rFonts w:ascii="Liberation Serif" w:hAnsi="Liberation Serif"/>
                <w:sz w:val="17"/>
              </w:rPr>
              <w:t>q</w:t>
            </w:r>
          </w:p>
        </w:tc>
        <w:tc>
          <w:tcPr>
            <w:tcW w:type="dxa" w:w="8208"/>
            <w:vAlign w:val="center"/>
          </w:tcPr>
          <w:p>
            <w:pPr>
              <w:spacing w:after="30"/>
            </w:pPr>
            <w:r>
              <w:rPr>
                <w:rFonts w:ascii="Liberation Serif" w:hAnsi="Liberation Serif"/>
                <w:sz w:val="17"/>
              </w:rPr>
              <w:t>dreidimensionaler Kanalzustand</w:t>
            </w:r>
          </w:p>
        </w:tc>
      </w:tr>
      <w:tr>
        <w:tc>
          <w:tcPr>
            <w:tcW w:type="dxa" w:w="2016"/>
            <w:vAlign w:val="center"/>
          </w:tcPr>
          <w:p>
            <w:pPr>
              <w:spacing w:after="30"/>
            </w:pPr>
            <w:r>
              <w:rPr>
                <w:rFonts w:ascii="Liberation Serif" w:hAnsi="Liberation Serif"/>
                <w:sz w:val="17"/>
              </w:rPr>
              <w:t>q̄</w:t>
            </w:r>
          </w:p>
        </w:tc>
        <w:tc>
          <w:tcPr>
            <w:tcW w:type="dxa" w:w="8208"/>
            <w:vAlign w:val="center"/>
          </w:tcPr>
          <w:p>
            <w:pPr>
              <w:spacing w:after="30"/>
            </w:pPr>
            <w:r>
              <w:rPr>
                <w:rFonts w:ascii="Liberation Serif" w:hAnsi="Liberation Serif"/>
                <w:sz w:val="17"/>
              </w:rPr>
              <w:t>Kanalmittelwert</w:t>
            </w:r>
          </w:p>
        </w:tc>
      </w:tr>
      <w:tr>
        <w:tc>
          <w:tcPr>
            <w:tcW w:type="dxa" w:w="2016"/>
            <w:vAlign w:val="center"/>
          </w:tcPr>
          <w:p>
            <w:pPr>
              <w:spacing w:after="30"/>
            </w:pPr>
            <w:r>
              <w:rPr>
                <w:rFonts w:ascii="Liberation Serif" w:hAnsi="Liberation Serif"/>
                <w:sz w:val="17"/>
              </w:rPr>
              <w:t>P_aniso</w:t>
            </w:r>
          </w:p>
        </w:tc>
        <w:tc>
          <w:tcPr>
            <w:tcW w:type="dxa" w:w="8208"/>
            <w:vAlign w:val="center"/>
          </w:tcPr>
          <w:p>
            <w:pPr>
              <w:spacing w:after="30"/>
            </w:pPr>
            <w:r>
              <w:rPr>
                <w:rFonts w:ascii="Liberation Serif" w:hAnsi="Liberation Serif"/>
                <w:sz w:val="17"/>
              </w:rPr>
              <w:t>orthogonaler Projektor auf A₂^ℝ</w:t>
            </w:r>
          </w:p>
        </w:tc>
      </w:tr>
      <w:tr>
        <w:tc>
          <w:tcPr>
            <w:tcW w:type="dxa" w:w="2016"/>
            <w:vAlign w:val="center"/>
          </w:tcPr>
          <w:p>
            <w:pPr>
              <w:spacing w:after="30"/>
            </w:pPr>
            <w:r>
              <w:rPr>
                <w:rFonts w:ascii="Liberation Serif" w:hAnsi="Liberation Serif"/>
                <w:sz w:val="17"/>
              </w:rPr>
              <w:t>D_E°</w:t>
            </w:r>
          </w:p>
        </w:tc>
        <w:tc>
          <w:tcPr>
            <w:tcW w:type="dxa" w:w="8208"/>
            <w:vAlign w:val="center"/>
          </w:tcPr>
          <w:p>
            <w:pPr>
              <w:spacing w:after="30"/>
            </w:pPr>
            <w:r>
              <w:rPr>
                <w:rFonts w:ascii="Liberation Serif" w:hAnsi="Liberation Serif"/>
                <w:sz w:val="17"/>
              </w:rPr>
              <w:t>spurfreier diagonaler Defekttensor</w:t>
            </w:r>
          </w:p>
        </w:tc>
      </w:tr>
      <w:tr>
        <w:tc>
          <w:tcPr>
            <w:tcW w:type="dxa" w:w="2016"/>
            <w:vAlign w:val="center"/>
          </w:tcPr>
          <w:p>
            <w:pPr>
              <w:spacing w:after="30"/>
            </w:pPr>
            <w:r>
              <w:rPr>
                <w:rFonts w:ascii="Liberation Serif" w:hAnsi="Liberation Serif"/>
                <w:sz w:val="17"/>
              </w:rPr>
              <w:t>M_eff,cand</w:t>
            </w:r>
          </w:p>
        </w:tc>
        <w:tc>
          <w:tcPr>
            <w:tcW w:type="dxa" w:w="8208"/>
            <w:vAlign w:val="center"/>
          </w:tcPr>
          <w:p>
            <w:pPr>
              <w:spacing w:after="30"/>
            </w:pPr>
            <w:r>
              <w:rPr>
                <w:rFonts w:ascii="Liberation Serif" w:hAnsi="Liberation Serif"/>
                <w:sz w:val="17"/>
              </w:rPr>
              <w:t>24I₃+D_E°</w:t>
            </w:r>
          </w:p>
        </w:tc>
      </w:tr>
      <w:tr>
        <w:tc>
          <w:tcPr>
            <w:tcW w:type="dxa" w:w="2016"/>
            <w:vAlign w:val="center"/>
          </w:tcPr>
          <w:p>
            <w:pPr>
              <w:spacing w:after="30"/>
            </w:pPr>
            <w:r>
              <w:rPr>
                <w:rFonts w:ascii="Liberation Serif" w:hAnsi="Liberation Serif"/>
                <w:sz w:val="17"/>
              </w:rPr>
              <w:t>E_surg</w:t>
            </w:r>
          </w:p>
        </w:tc>
        <w:tc>
          <w:tcPr>
            <w:tcW w:type="dxa" w:w="8208"/>
            <w:vAlign w:val="center"/>
          </w:tcPr>
          <w:p>
            <w:pPr>
              <w:spacing w:after="30"/>
            </w:pPr>
            <w:r>
              <w:rPr>
                <w:rFonts w:ascii="Liberation Serif" w:hAnsi="Liberation Serif"/>
                <w:sz w:val="17"/>
              </w:rPr>
              <w:t>‖P_aniso(q)‖²</w:t>
            </w:r>
          </w:p>
        </w:tc>
      </w:tr>
      <w:tr>
        <w:tc>
          <w:tcPr>
            <w:tcW w:type="dxa" w:w="2016"/>
            <w:vAlign w:val="center"/>
          </w:tcPr>
          <w:p>
            <w:pPr>
              <w:spacing w:after="30"/>
            </w:pPr>
            <w:r>
              <w:rPr>
                <w:rFonts w:ascii="Liberation Serif" w:hAnsi="Liberation Serif"/>
                <w:sz w:val="17"/>
              </w:rPr>
              <w:t>Δ</w:t>
            </w:r>
          </w:p>
        </w:tc>
        <w:tc>
          <w:tcPr>
            <w:tcW w:type="dxa" w:w="8208"/>
            <w:vAlign w:val="center"/>
          </w:tcPr>
          <w:p>
            <w:pPr>
              <w:spacing w:after="30"/>
            </w:pPr>
            <w:r>
              <w:rPr>
                <w:rFonts w:ascii="Liberation Serif" w:hAnsi="Liberation Serif"/>
                <w:sz w:val="17"/>
              </w:rPr>
              <w:t>Intertwining-Defekt</w:t>
            </w:r>
          </w:p>
        </w:tc>
      </w:tr>
      <w:tr>
        <w:tc>
          <w:tcPr>
            <w:tcW w:type="dxa" w:w="2016"/>
            <w:vAlign w:val="center"/>
          </w:tcPr>
          <w:p>
            <w:pPr>
              <w:spacing w:after="30"/>
            </w:pPr>
            <w:r>
              <w:rPr>
                <w:rFonts w:ascii="Liberation Serif" w:hAnsi="Liberation Serif"/>
                <w:sz w:val="17"/>
              </w:rPr>
              <w:t>Tprime</w:t>
            </w:r>
          </w:p>
        </w:tc>
        <w:tc>
          <w:tcPr>
            <w:tcW w:type="dxa" w:w="8208"/>
            <w:vAlign w:val="center"/>
          </w:tcPr>
          <w:p>
            <w:pPr>
              <w:spacing w:after="30"/>
            </w:pPr>
            <w:r>
              <w:rPr>
                <w:rFonts w:ascii="Liberation Serif" w:hAnsi="Liberation Serif"/>
                <w:sz w:val="17"/>
              </w:rPr>
              <w:t>diskreter Primquellterm</w:t>
            </w:r>
          </w:p>
        </w:tc>
      </w:tr>
      <w:tr>
        <w:tc>
          <w:tcPr>
            <w:tcW w:type="dxa" w:w="2016"/>
            <w:vAlign w:val="center"/>
          </w:tcPr>
          <w:p>
            <w:pPr>
              <w:spacing w:after="30"/>
            </w:pPr>
            <w:r>
              <w:rPr>
                <w:rFonts w:ascii="Liberation Serif" w:hAnsi="Liberation Serif"/>
                <w:sz w:val="17"/>
              </w:rPr>
              <w:t>Gκ</w:t>
            </w:r>
          </w:p>
        </w:tc>
        <w:tc>
          <w:tcPr>
            <w:tcW w:type="dxa" w:w="8208"/>
            <w:vAlign w:val="center"/>
          </w:tcPr>
          <w:p>
            <w:pPr>
              <w:spacing w:after="30"/>
            </w:pPr>
            <w:r>
              <w:rPr>
                <w:rFonts w:ascii="Liberation Serif" w:hAnsi="Liberation Serif"/>
                <w:sz w:val="17"/>
              </w:rPr>
              <w:t>interne Feldantwort κTprime</w:t>
            </w:r>
          </w:p>
        </w:tc>
      </w:tr>
      <w:tr>
        <w:tc>
          <w:tcPr>
            <w:tcW w:type="dxa" w:w="2016"/>
            <w:vAlign w:val="center"/>
          </w:tcPr>
          <w:p>
            <w:pPr>
              <w:spacing w:after="30"/>
            </w:pPr>
            <w:r>
              <w:rPr>
                <w:rFonts w:ascii="Liberation Serif" w:hAnsi="Liberation Serif"/>
                <w:sz w:val="17"/>
              </w:rPr>
              <w:t>R*</w:t>
            </w:r>
          </w:p>
        </w:tc>
        <w:tc>
          <w:tcPr>
            <w:tcW w:type="dxa" w:w="8208"/>
            <w:vAlign w:val="center"/>
          </w:tcPr>
          <w:p>
            <w:pPr>
              <w:spacing w:after="30"/>
            </w:pPr>
            <w:r>
              <w:rPr>
                <w:rFonts w:ascii="Liberation Serif" w:hAnsi="Liberation Serif"/>
                <w:sz w:val="17"/>
              </w:rPr>
              <w:t>Renormierungs-/Löschoperator</w:t>
            </w:r>
          </w:p>
        </w:tc>
      </w:tr>
      <w:tr>
        <w:tc>
          <w:tcPr>
            <w:tcW w:type="dxa" w:w="2016"/>
            <w:vAlign w:val="center"/>
          </w:tcPr>
          <w:p>
            <w:pPr>
              <w:spacing w:after="30"/>
            </w:pPr>
            <w:r>
              <w:rPr>
                <w:rFonts w:ascii="Liberation Serif" w:hAnsi="Liberation Serif"/>
                <w:sz w:val="17"/>
              </w:rPr>
              <w:t>𝒮</w:t>
            </w:r>
          </w:p>
        </w:tc>
        <w:tc>
          <w:tcPr>
            <w:tcW w:type="dxa" w:w="8208"/>
            <w:vAlign w:val="center"/>
          </w:tcPr>
          <w:p>
            <w:pPr>
              <w:spacing w:after="30"/>
            </w:pPr>
            <w:r>
              <w:rPr>
                <w:rFonts w:ascii="Liberation Serif" w:hAnsi="Liberation Serif"/>
                <w:sz w:val="17"/>
              </w:rPr>
              <w:t>idempotente affine Chirurgie</w:t>
            </w:r>
          </w:p>
        </w:tc>
      </w:tr>
      <w:tr>
        <w:tc>
          <w:tcPr>
            <w:tcW w:type="dxa" w:w="2016"/>
            <w:vAlign w:val="center"/>
          </w:tcPr>
          <w:p>
            <w:pPr>
              <w:spacing w:after="30"/>
            </w:pPr>
            <w:r>
              <w:rPr>
                <w:rFonts w:ascii="Liberation Serif" w:hAnsi="Liberation Serif"/>
                <w:sz w:val="17"/>
              </w:rPr>
              <w:t>ΔS_barrier</w:t>
            </w:r>
          </w:p>
        </w:tc>
        <w:tc>
          <w:tcPr>
            <w:tcW w:type="dxa" w:w="8208"/>
            <w:vAlign w:val="center"/>
          </w:tcPr>
          <w:p>
            <w:pPr>
              <w:spacing w:after="30"/>
            </w:pPr>
            <w:r>
              <w:rPr>
                <w:rFonts w:ascii="Liberation Serif" w:hAnsi="Liberation Serif"/>
                <w:sz w:val="17"/>
              </w:rPr>
              <w:t>−½E_surg</w:t>
            </w:r>
          </w:p>
        </w:tc>
      </w:tr>
    </w:tbl>
    <w:p/>
    <w:p>
      <w:pPr>
        <w:pStyle w:val="Heading1"/>
        <w:keepNext/>
      </w:pPr>
      <w:r>
        <w:t>Literatur</w:t>
      </w:r>
    </w:p>
    <w:p>
      <w:pPr>
        <w:pStyle w:val="Bibliography"/>
      </w:pPr>
      <w:r>
        <w:t>1. Aharonov, Y.; Bohm, D.: Significance of Electromagnetic Potentials in the Quantum Theory. Physical Review 115 (1959), 485–491. DOI 10.1103/PhysRev.115.485.</w:t>
      </w:r>
    </w:p>
    <w:p>
      <w:pPr>
        <w:pStyle w:val="Bibliography"/>
      </w:pPr>
      <w:r>
        <w:t>2. Baez, J. C.: The Octonions. Bulletin of the American Mathematical Society 39 (2002), 145–205.</w:t>
      </w:r>
    </w:p>
    <w:p>
      <w:pPr>
        <w:pStyle w:val="Bibliography"/>
      </w:pPr>
      <w:r>
        <w:t>3. Casimir, H. B. G.: On the Attraction Between Two Perfectly Conducting Plates. Proceedings of the Koninklijke Nederlandse Akademie van Wetenschappen 51 (1948), 793–795.</w:t>
      </w:r>
    </w:p>
    <w:p>
      <w:pPr>
        <w:pStyle w:val="Bibliography"/>
      </w:pPr>
      <w:r>
        <w:t>4. Conway, J. H.; Smith, D. A.: On Quaternions and Octonions. A K Peters, 2003.</w:t>
      </w:r>
    </w:p>
    <w:p>
      <w:pPr>
        <w:pStyle w:val="Bibliography"/>
      </w:pPr>
      <w:r>
        <w:t>5. Conway, J. H.; Sloane, N. J. A.: Sphere Packings, Lattices and Groups. 3. Auflage, Springer, 1999.</w:t>
      </w:r>
    </w:p>
    <w:p>
      <w:pPr>
        <w:pStyle w:val="Bibliography"/>
      </w:pPr>
      <w:r>
        <w:t>6. Cox, D. A.: Primes of the Form x²+ny². 2. Auflage, Wiley, 2013.</w:t>
      </w:r>
    </w:p>
    <w:p>
      <w:pPr>
        <w:pStyle w:val="Bibliography"/>
      </w:pPr>
      <w:r>
        <w:t>7. Hales, T. C.: A Proof of the Kepler Conjecture. Annals of Mathematics 162 (2005), 1065–1185.</w:t>
      </w:r>
    </w:p>
    <w:p>
      <w:pPr>
        <w:pStyle w:val="Bibliography"/>
      </w:pPr>
      <w:r>
        <w:t>8. Hales, T. et al.: A Formal Proof of the Kepler Conjecture. Forum of Mathematics, Pi 5 (2017), e2.</w:t>
      </w:r>
    </w:p>
    <w:p>
      <w:pPr>
        <w:pStyle w:val="Bibliography"/>
      </w:pPr>
      <w:r>
        <w:t>9. Hardy, G. H.; Wright, E. M.: An Introduction to the Theory of Numbers. 6. Auflage, Oxford University Press, 2008.</w:t>
      </w:r>
    </w:p>
    <w:p>
      <w:pPr>
        <w:pStyle w:val="Bibliography"/>
      </w:pPr>
      <w:r>
        <w:t>10. Hurwitz, A.: Vorlesungen über die Zahlentheorie der Quaternionen. Springer, 1919.</w:t>
      </w:r>
    </w:p>
    <w:p>
      <w:pPr>
        <w:pStyle w:val="Bibliography"/>
      </w:pPr>
      <w:r>
        <w:t>11. von Klitzing, K.; Dorda, G.; Pepper, M.: New Method for High-Accuracy Determination of the Fine-Structure Constant Based on Quantized Hall Resistance. Physical Review Letters 45 (1980), 494–497. DOI 10.1103/PhysRevLett.45.494.</w:t>
      </w:r>
    </w:p>
    <w:p>
      <w:pPr>
        <w:pStyle w:val="Bibliography"/>
      </w:pPr>
      <w:r>
        <w:t>12. Niven, I.; Zuckerman, H. S.; Montgomery, H. L.: An Introduction to the Theory of Numbers. Wiley.</w:t>
      </w:r>
    </w:p>
    <w:p>
      <w:pPr>
        <w:pStyle w:val="Bibliography"/>
      </w:pPr>
      <w:r>
        <w:t>13. Onsager, L.: Crystal Statistics. I. A Two-Dimensional Model with an Order-Disorder Transition. Physical Review 65 (1944), 117–149. DOI 10.1103/PhysRev.65.117.</w:t>
      </w:r>
    </w:p>
    <w:p>
      <w:pPr>
        <w:pStyle w:val="Bibliography"/>
      </w:pPr>
      <w:r>
        <w:t>14. Serre, J.-P.: A Course in Arithmetic. Springer, 1973.</w:t>
      </w:r>
    </w:p>
    <w:p>
      <w:pPr>
        <w:pStyle w:val="Bibliography"/>
      </w:pPr>
      <w:r>
        <w:t>15. Stillwell, J.: Naive Lie Theory. Springer, 2008.</w:t>
      </w:r>
    </w:p>
    <w:p>
      <w:pPr>
        <w:pStyle w:val="Bibliography"/>
      </w:pPr>
      <w:r>
        <w:t>16. Wong, M. L. et al.: On the Roles of Function and Selection in Evolving Systems. Proceedings of the National Academy of Sciences 120 (2023).</w:t>
      </w:r>
    </w:p>
    <w:p>
      <w:pPr>
        <w:pStyle w:val="Bibliography"/>
      </w:pPr>
      <w:r>
        <w:t>17. Projektarchiv AkademieOlympia/eabc-renorm: Lean-4-Module und Governance-Dokumente, Referenzstände 2026.</w:t>
      </w:r>
    </w:p>
    <w:p>
      <w:pPr>
        <w:pStyle w:val="Heading1"/>
        <w:keepNext/>
      </w:pPr>
      <w:r>
        <w:t>Schlussbemerkung</w:t>
      </w:r>
    </w:p>
    <w:p>
      <w:r>
        <w:t>Das Projekt hat sich von einer Restklassenbeobachtung zu einer formal geschichteten Architektur entwickelt. Der bleibende methodische Ertrag liegt weniger in einer einzelnen physikalischen Behauptung als in der strengen Trennung von arithmetischer Quelle, geometrischem Defekt, dynamischer Natürlichkeit, Live-Darstellbarkeit und struktureller Lesart. Der Referenzkern 24I₃ verbindet diese Ebenen, ohne ihre Ontologien zu identifizieren.</w:t>
      </w:r>
    </w:p>
    <w:sectPr w:rsidR="00FC693F" w:rsidRPr="0006063C" w:rsidSect="00034616">
      <w:headerReference w:type="default" r:id="rId9"/>
      <w:footerReference w:type="default" r:id="rId10"/>
      <w:pgSz w:w="12240" w:h="15840"/>
      <w:pgMar w:top="1080"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06070"/>
        <w:sz w:val="16"/>
      </w:rPr>
      <w:t>Band I · Arbeitsfassung 2026</w:t>
    </w:r>
    <w:r>
      <w:t xml:space="preserve"> · S.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color w:val="506070"/>
        <w:sz w:val="16"/>
      </w:rPr>
      <w:t>Kepler–Hurwitz / EABC — Mathematische Grundlagen und formale Architektur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6324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34E7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3B5F7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632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6637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orem">
    <w:name w:val="Theorem"/>
    <w:basedOn w:val="Normal"/>
    <w:pPr>
      <w:spacing w:before="160" w:after="160"/>
      <w:ind w:left="360" w:firstLine="0"/>
    </w:pPr>
    <w:rPr>
      <w:rFonts w:ascii="Liberation Serif" w:hAnsi="Liberation Serif"/>
      <w:b w:val="0"/>
      <w:i w:val="0"/>
      <w:color w:val="102A43"/>
      <w:sz w:val="20"/>
    </w:rPr>
  </w:style>
  <w:style w:type="paragraph" w:customStyle="1" w:styleId="Definition">
    <w:name w:val="Definition"/>
    <w:basedOn w:val="Normal"/>
    <w:pPr>
      <w:spacing w:before="160" w:after="160"/>
      <w:ind w:left="360" w:firstLine="0"/>
    </w:pPr>
    <w:rPr>
      <w:rFonts w:ascii="Liberation Serif" w:hAnsi="Liberation Serif"/>
      <w:b w:val="0"/>
      <w:i w:val="0"/>
      <w:color w:val="243B53"/>
      <w:sz w:val="20"/>
    </w:rPr>
  </w:style>
  <w:style w:type="paragraph" w:customStyle="1" w:styleId="Proof">
    <w:name w:val="Proof"/>
    <w:basedOn w:val="Normal"/>
    <w:pPr>
      <w:spacing w:before="80" w:after="160"/>
      <w:ind w:left="504" w:firstLine="0"/>
    </w:pPr>
    <w:rPr>
      <w:rFonts w:ascii="Liberation Serif" w:hAnsi="Liberation Serif"/>
      <w:b w:val="0"/>
      <w:i w:val="0"/>
      <w:color w:val="334E68"/>
      <w:sz w:val="20"/>
    </w:rPr>
  </w:style>
  <w:style w:type="paragraph" w:customStyle="1" w:styleId="ClaimBoundary">
    <w:name w:val="ClaimBoundary"/>
    <w:basedOn w:val="Normal"/>
    <w:pPr>
      <w:spacing w:before="140" w:after="140"/>
      <w:ind w:left="360" w:firstLine="0"/>
    </w:pPr>
    <w:rPr>
      <w:rFonts w:ascii="Liberation Sans" w:hAnsi="Liberation Sans"/>
      <w:b/>
      <w:i w:val="0"/>
      <w:color w:val="7A1F1F"/>
      <w:sz w:val="18"/>
    </w:rPr>
  </w:style>
  <w:style w:type="paragraph" w:customStyle="1" w:styleId="Remark">
    <w:name w:val="Remark"/>
    <w:basedOn w:val="Normal"/>
    <w:pPr>
      <w:spacing w:before="100" w:after="120"/>
      <w:ind w:left="360" w:firstLine="0"/>
    </w:pPr>
    <w:rPr>
      <w:rFonts w:ascii="Liberation Serif" w:hAnsi="Liberation Serif"/>
      <w:b w:val="0"/>
      <w:i/>
      <w:color w:val="52606D"/>
      <w:sz w:val="20"/>
    </w:rPr>
  </w:style>
  <w:style w:type="paragraph" w:customStyle="1" w:styleId="Equation">
    <w:name w:val="Equation"/>
    <w:basedOn w:val="Normal"/>
    <w:pPr>
      <w:spacing w:before="100" w:after="100"/>
      <w:ind w:left="504" w:firstLine="0"/>
    </w:pPr>
    <w:rPr>
      <w:rFonts w:ascii="Liberation Serif" w:hAnsi="Liberation Serif"/>
      <w:b w:val="0"/>
      <w:i w:val="0"/>
      <w:color w:val="102A43"/>
      <w:sz w:val="22"/>
    </w:rPr>
  </w:style>
  <w:style w:type="paragraph" w:customStyle="1" w:styleId="Bibliography">
    <w:name w:val="Bibliography"/>
    <w:basedOn w:val="Normal"/>
    <w:pPr>
      <w:spacing w:before="0" w:after="60"/>
      <w:ind w:left="-144" w:firstLine="144"/>
    </w:pPr>
    <w:rPr>
      <w:rFonts w:ascii="Liberation Serif" w:hAnsi="Liberation Serif"/>
      <w:b w:val="0"/>
      <w:i w:val="0"/>
      <w:color w:val="000000"/>
      <w:sz w:val="18"/>
    </w:rPr>
  </w:style>
  <w:style w:type="paragraph" w:customStyle="1" w:styleId="FrontMatter">
    <w:name w:val="FrontMatter"/>
    <w:basedOn w:val="Normal"/>
    <w:pPr>
      <w:spacing w:before="60" w:after="120"/>
      <w:ind w:left="0" w:firstLine="0"/>
    </w:pPr>
    <w:rPr>
      <w:rFonts w:ascii="Liberation Sans" w:hAnsi="Liberation Sans"/>
      <w:b w:val="0"/>
      <w:i w:val="0"/>
      <w:color w:val="334E68"/>
      <w:sz w:val="20"/>
    </w:rPr>
  </w:style>
  <w:style w:type="paragraph" w:customStyle="1" w:styleId="Code">
    <w:name w:val="Code"/>
    <w:basedOn w:val="Normal"/>
    <w:pPr>
      <w:spacing w:before="80" w:after="100"/>
      <w:ind w:left="360" w:firstLine="0"/>
    </w:pPr>
    <w:rPr>
      <w:rFonts w:ascii="Liberation Mono" w:hAnsi="Liberation Mono"/>
      <w:b w:val="0"/>
      <w:i w:val="0"/>
      <w:color w:val="1F29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Arithmetische Defekte, Hurwitz-Strukturen und die EABC-Normalform</dc:title>
  <dc:subject>Mathematisches Lehrbuch zum Kepler-Hurwitz/EABC-Projekt</dc:subject>
  <dc:creator>Julian Hoffbauer / AkademieOlympia</dc:creator>
  <cp:keywords>EABC, Hurwitz, Quaternionen, Primzahlen, Lean 4, Kepler, E8, Defekttensor</cp:keywords>
  <dc:description>generated by python-docx</dc:description>
  <cp:lastModifiedBy/>
  <cp:revision>1</cp:revision>
  <dcterms:created xsi:type="dcterms:W3CDTF">2013-12-23T23:15:00Z</dcterms:created>
  <dcterms:modified xsi:type="dcterms:W3CDTF">2013-12-23T23:15:00Z</dcterms:modified>
  <cp:category/>
</cp:coreProperties>
</file>