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BM-Toy-Modell – Aktuelle Arbeitsformeln und beste Arbeitswerte</w:t>
      </w:r>
    </w:p>
    <w:p>
      <w:pPr>
        <w:jc w:val="center"/>
      </w:pPr>
      <w:r>
        <w:rPr>
          <w:i/>
          <w:sz w:val="20"/>
        </w:rPr>
        <w:t>Konsolidierte Übersicht des derzeit besten zusammengesetzten BM-Arbeitsstands</w:t>
      </w:r>
    </w:p>
    <w:p/>
    <w:p>
      <w:pPr>
        <w:spacing w:before="200" w:after="100"/>
      </w:pPr>
      <w:r>
        <w:rPr>
          <w:b/>
          <w:sz w:val="26"/>
        </w:rPr>
        <w:t>1. Arbeitsparameter</w:t>
      </w:r>
    </w:p>
    <w:p>
      <w:pPr>
        <w:spacing w:after="80"/>
      </w:pPr>
      <w:r>
        <w:t>Fixierter Kern: γ = 8.7, bias_scale = 0.035, κ = 8, ζ = 8. Für die θ*-Projektionsformel werden a = 0.14 und b = 0.18 verwendet. Für die verbesserte Materieseite wird zusätzlich ein kollektiver CG-Term berücksichtigt.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/>
              </w:rPr>
              <w:t>Parameter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/>
              </w:rPr>
              <w:t>Wert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/>
              </w:rPr>
              <w:t>Rolle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γ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8.7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Skalierung des Low-Sektors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bias_scale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0.035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Toy-Bias im Low-Sektor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κ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logarithmische High-Kompression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ζ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weiche High-Sättigung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0.14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Exponentenmix für θ*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b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0.18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Exponentenmix für θ*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ξ_CG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≈ 0.019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kollektiver Korrektorterm für Ω_m</w:t>
            </w:r>
          </w:p>
        </w:tc>
      </w:tr>
    </w:tbl>
    <w:p>
      <w:pPr>
        <w:spacing w:before="200" w:after="100"/>
      </w:pPr>
      <w:r>
        <w:rPr>
          <w:b/>
          <w:sz w:val="26"/>
        </w:rPr>
        <w:t>2. Basisformeln</w:t>
      </w:r>
    </w:p>
    <w:p>
      <w:pPr>
        <w:spacing w:after="80"/>
      </w:pPr>
      <w:r>
        <w:t>Low-Observable: S_L = 2·CV + 2·B + F</w:t>
      </w:r>
    </w:p>
    <w:p>
      <w:pPr>
        <w:spacing w:after="80"/>
      </w:pPr>
      <w:r>
        <w:t>Low-Temperatur: T_L = T* · exp(-γ · S̄_L) mit T* = 380000 / 137 ≈ 2773.72 K</w:t>
      </w:r>
    </w:p>
    <w:p>
      <w:pPr>
        <w:spacing w:after="80"/>
      </w:pPr>
      <w:r>
        <w:t>High-Sektor: x̃_k = log(1 + κ x_k)/κ und y_k = x̃_k / (1 + ζ x̃_k); danach globale Normierung auf T̄_H = 3000 K</w:t>
      </w:r>
    </w:p>
    <w:p>
      <w:pPr>
        <w:spacing w:after="80"/>
      </w:pPr>
      <w:r>
        <w:t>Hubble-Proxy: R_H^BM = 1 + η · λ_L</w:t>
      </w:r>
    </w:p>
    <w:p>
      <w:pPr>
        <w:spacing w:after="80"/>
      </w:pPr>
      <w:r>
        <w:t>σ8-Proxy: σ8^BM = 1 - σ(T_L)/T̄_L</w:t>
      </w:r>
    </w:p>
    <w:p>
      <w:pPr>
        <w:spacing w:after="80"/>
      </w:pPr>
      <w:r>
        <w:t>θ*-Proxy: 100 θ*^BM = 100 · [σ(T_H)/T̄_H] · (T_H/T_L)^(-0.14) · (σ(T_L)/T̄_L)^(-0.18)</w:t>
      </w:r>
    </w:p>
    <w:p>
      <w:pPr>
        <w:spacing w:after="80"/>
      </w:pPr>
      <w:r>
        <w:t>Spektralindex: n_s^BM = 1 - |β_L - β_H| / 3</w:t>
      </w:r>
    </w:p>
    <w:p>
      <w:pPr>
        <w:spacing w:after="80"/>
      </w:pPr>
      <w:r>
        <w:t>Verbesserte Materiegröße: Ω_m^BM = σ(T_H)/T̄_H + σ(T_L)/T̄_L + (R_H^BM - 1) + ξ_CG · ⟨(C_k + G_k)/(1 + C_k + G_k)⟩</w:t>
      </w:r>
    </w:p>
    <w:p>
      <w:pPr>
        <w:spacing w:before="200" w:after="100"/>
      </w:pPr>
      <w:r>
        <w:rPr>
          <w:b/>
          <w:sz w:val="26"/>
        </w:rPr>
        <w:t>3. Aktuelle beste Arbeitswerte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/>
              </w:rPr>
              <w:t>Größe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/>
              </w:rPr>
              <w:t>BM-Wert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/>
              </w:rPr>
              <w:t>Bemerkung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T̄_H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3000.0 K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rekombinationsnahe heiße Familie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σ(T_H)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62.37 K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kontrollierte High-Bandbreite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T̄_L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2.731366 K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CMB-nahe kalte Familie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σ(T_L)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0.543448 K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Bandbreite des Low-Sektors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R_H^BM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1.083700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frühes/spätes Regimeverhältnis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σ8^BM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0.801034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nahe an Planck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100 θ*^BM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1.043165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sehr nah an Planck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n_s^BM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≈ 0.967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nahe an Planck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Ω_m^BM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≈ 0.3135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verbesserte Materiegröße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Ω_b^BM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≈ 0.0497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baryonischer Split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Ω_c^BM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≈ 0.2638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dunkler Split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Ω_b h²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≈ 0.02256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früher Anker h = 0.674</w:t>
            </w:r>
          </w:p>
        </w:tc>
      </w:tr>
      <w:tr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Ω_c h²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≈ 0.11984</w:t>
            </w:r>
          </w:p>
        </w:tc>
        <w:tc>
          <w:tcPr>
            <w:tcW w:type="dxa" w:w="3249"/>
          </w:tcPr>
          <w:p>
            <w:pPr>
              <w:spacing w:after="0" w:before="0"/>
            </w:pPr>
            <w:r/>
            <w:r>
              <w:rPr>
                <w:b w:val="0"/>
              </w:rPr>
              <w:t>früher Anker h = 0.674</w:t>
            </w:r>
          </w:p>
        </w:tc>
      </w:tr>
    </w:tbl>
    <w:p>
      <w:pPr>
        <w:spacing w:before="200" w:after="100"/>
      </w:pPr>
      <w:r>
        <w:rPr>
          <w:b/>
          <w:sz w:val="26"/>
        </w:rPr>
        <w:t>4. Materieaufspaltung</w:t>
      </w:r>
    </w:p>
    <w:p>
      <w:pPr>
        <w:spacing w:after="80"/>
      </w:pPr>
      <w:r>
        <w:t>Baryonischer Split-Term: b_k^BM = exp[-λ_bary · (CV_k + F_k + E_k + 0.5 C_k)]</w:t>
      </w:r>
    </w:p>
    <w:p>
      <w:pPr>
        <w:spacing w:after="80"/>
      </w:pPr>
      <w:r>
        <w:t>Dunkler Split-Term: d_k^BM = 1 - exp[-λ_dark · (C_k + G_k + A_k + 0.5 B_k)]</w:t>
      </w:r>
    </w:p>
    <w:p>
      <w:pPr>
        <w:spacing w:after="80"/>
      </w:pPr>
      <w:r>
        <w:t>Aktuelles gutes Split-Regime: λ_dark ≈ 2.6 und λ_bary ≈ 1.72.</w:t>
      </w:r>
    </w:p>
    <w:p>
      <w:pPr>
        <w:spacing w:after="80"/>
      </w:pPr>
      <w:r>
        <w:t>Aufteilung: Ω_b^BM = Ω_m^BM · b̄/(b̄ + d̄),   Ω_c^BM = Ω_m^BM · d̄/(b̄ + d̄)</w:t>
      </w:r>
    </w:p>
    <w:p>
      <w:pPr>
        <w:spacing w:before="200" w:after="100"/>
      </w:pPr>
      <w:r>
        <w:rPr>
          <w:b/>
          <w:sz w:val="26"/>
        </w:rPr>
        <w:t>5. Kurzurteil</w:t>
      </w:r>
    </w:p>
    <w:p>
      <w:pPr>
        <w:spacing w:after="80"/>
      </w:pPr>
      <w:r>
        <w:t>Der derzeit beste zusammengesetzte BM-Stand ist intern deutlich geschlossener als die frühen Toy-Versionen: T_H, T_L, R_H, σ8, θ*, n_s und die Materieseite liegen zugleich in einer brauchbaren Nähe zu den Referenzwerten.</w:t>
      </w:r>
    </w:p>
    <w:p>
      <w:pPr>
        <w:spacing w:after="80"/>
      </w:pPr>
      <w:r>
        <w:t>Besonders wichtig ist, dass die leichte Anhebung von Ω_m^BM nicht mehr als freies Δ_m gesetzt wird, sondern über den BM-internen kollektiven Term D_CG modelliert wird.</w:t>
      </w:r>
    </w:p>
    <w:p>
      <w:pPr>
        <w:spacing w:after="80"/>
      </w:pPr>
      <w:r>
        <w:t>Status: kalibriertes, aber strukturell verdichtetes Spektral-Toy-Modell; keine etablierte physikalische Theorie.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