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2DF" w:rsidRPr="007912DF" w:rsidRDefault="007912DF" w:rsidP="007912D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7912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Лабораторная работа № 5. </w:t>
      </w:r>
      <w:r w:rsidR="002C4E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(2часа)</w:t>
      </w:r>
      <w:bookmarkStart w:id="0" w:name="_GoBack"/>
      <w:bookmarkEnd w:id="0"/>
      <w:r w:rsidRPr="007912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Построение диаграммы декомпозиции в нотации IDEF3</w:t>
      </w:r>
    </w:p>
    <w:p w:rsidR="007912DF" w:rsidRPr="007912DF" w:rsidRDefault="007912DF" w:rsidP="00791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Цель работы:</w:t>
      </w:r>
    </w:p>
    <w:p w:rsidR="007912DF" w:rsidRPr="007912DF" w:rsidRDefault="007912DF" w:rsidP="00791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построить диаграмму декомпозиции в нотации IDEF3 одной из работ диаграмм IDEF0, построенных в предыдущих лабораторных работах</w:t>
      </w:r>
    </w:p>
    <w:p w:rsidR="007912DF" w:rsidRPr="007912DF" w:rsidRDefault="007912DF" w:rsidP="00791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IDEF3 - методология моделирования, использующая графическое описание информационных потоков, взаимоотношений между процессами обработки информации и объектов, являющихся частью этих процессов. IDEF3 дает возможность аналитикам описать ситуацию, когда процессы выполняются в определенной последовательности, а также описать объекты, участвующие совместно в одном процессе. 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Любая IDEF3-диаграмма может содержать работы, связи, перекрестки и объекты ссылок. 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912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Работа (</w:t>
      </w:r>
      <w:proofErr w:type="spellStart"/>
      <w:r w:rsidRPr="007912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Unit</w:t>
      </w:r>
      <w:proofErr w:type="spellEnd"/>
      <w:r w:rsidRPr="007912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7912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of</w:t>
      </w:r>
      <w:proofErr w:type="spellEnd"/>
      <w:r w:rsidRPr="007912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7912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Work</w:t>
      </w:r>
      <w:proofErr w:type="spellEnd"/>
      <w:r w:rsidRPr="007912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7912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activity</w:t>
      </w:r>
      <w:proofErr w:type="spellEnd"/>
      <w:r w:rsidRPr="007912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).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Изображается прямоугольником с прямыми углами (рис. 1) и имеет имя, выраженное отглагольным существительным, обозначающим процесс действия, одиночным или в составе фразы, и номер (идентификатор); другое имя существительное в составе той же фразы обычно отображает основной выход (результат) работы (например, «Изготовление изделия»). Все стороны работы равнозначны. В каждую работу может входить и выходить ровно по одной стрелке.</w:t>
      </w:r>
    </w:p>
    <w:p w:rsidR="007912DF" w:rsidRPr="007912DF" w:rsidRDefault="007912DF" w:rsidP="007912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95425" cy="981075"/>
            <wp:effectExtent l="0" t="0" r="9525" b="9525"/>
            <wp:docPr id="12" name="Рисунок 12" descr="http://khpi-iip.mipk.kharkiv.edu/library/technpgm/labs/lab05.images/u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hpi-iip.mipk.kharkiv.edu/library/technpgm/labs/lab05.images/uo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2DF" w:rsidRPr="007912DF" w:rsidRDefault="007912DF" w:rsidP="007912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1. Работа IDEF3</w:t>
      </w:r>
    </w:p>
    <w:p w:rsidR="007912DF" w:rsidRPr="007912DF" w:rsidRDefault="007912DF" w:rsidP="00791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912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Связи.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Связи показывают взаимоотношения работ. Все связи в IDEF3 </w:t>
      </w:r>
      <w:proofErr w:type="spellStart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однонаправлены</w:t>
      </w:r>
      <w:proofErr w:type="spellEnd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могут быть направлены куда угодно, но обычно диаграммы IDEF3 стараются построить так, чтобы связи были направлены слева направо. В IDEF3 возможны три вида связей: 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tbl>
      <w:tblPr>
        <w:tblW w:w="0" w:type="auto"/>
        <w:jc w:val="center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1903"/>
        <w:gridCol w:w="5657"/>
      </w:tblGrid>
      <w:tr w:rsidR="007912DF" w:rsidRPr="007912DF" w:rsidTr="007912D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Изображение стрелки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Описание</w:t>
            </w:r>
          </w:p>
        </w:tc>
      </w:tr>
      <w:tr w:rsidR="007912DF" w:rsidRPr="007912DF" w:rsidTr="007912D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857250" cy="247650"/>
                  <wp:effectExtent l="0" t="0" r="0" b="0"/>
                  <wp:docPr id="11" name="Рисунок 11" descr="http://khpi-iip.mipk.kharkiv.edu/library/technpgm/labs/lab05.images/preceden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khpi-iip.mipk.kharkiv.edu/library/technpgm/labs/lab05.images/preceden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Старшая (</w:t>
            </w:r>
            <w:proofErr w:type="spellStart"/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Precedence</w:t>
            </w:r>
            <w:proofErr w:type="spellEnd"/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 стрелка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сплошная линия, связывающая единицы работ (UOW). Рисуется слева направо или сверху вниз. Показывает, что работа-источник должна закончиться прежде, чем работа-цель начнется</w:t>
            </w:r>
          </w:p>
        </w:tc>
      </w:tr>
      <w:tr w:rsidR="007912DF" w:rsidRPr="007912DF" w:rsidTr="007912D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638175" cy="247650"/>
                  <wp:effectExtent l="0" t="0" r="9525" b="0"/>
                  <wp:docPr id="10" name="Рисунок 10" descr="http://khpi-iip.mipk.kharkiv.edu/library/technpgm/labs/lab05.images/object_fl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khpi-iip.mipk.kharkiv.edu/library/technpgm/labs/lab05.images/object_flo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Потоки объектов (</w:t>
            </w:r>
            <w:proofErr w:type="spellStart"/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Object</w:t>
            </w:r>
            <w:proofErr w:type="spellEnd"/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Flow</w:t>
            </w:r>
            <w:proofErr w:type="spellEnd"/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стрелка с двумя наконечниками, применяется для описания того факта, что объект используется в двух или более единицах </w:t>
            </w:r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работы, например когда объект порождается в одной работе и используется в другой</w:t>
            </w:r>
          </w:p>
        </w:tc>
      </w:tr>
      <w:tr w:rsidR="007912DF" w:rsidRPr="007912DF" w:rsidTr="007912D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lastRenderedPageBreak/>
              <w:drawing>
                <wp:inline distT="0" distB="0" distL="0" distR="0">
                  <wp:extent cx="619125" cy="200025"/>
                  <wp:effectExtent l="0" t="0" r="9525" b="9525"/>
                  <wp:docPr id="9" name="Рисунок 9" descr="http://khpi-iip.mipk.kharkiv.edu/library/technpgm/labs/lab05.images/relational_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khpi-iip.mipk.kharkiv.edu/library/technpgm/labs/lab05.images/relational_lin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Стрелка отношения (</w:t>
            </w:r>
            <w:proofErr w:type="spellStart"/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Relational</w:t>
            </w:r>
            <w:proofErr w:type="spellEnd"/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Link</w:t>
            </w:r>
            <w:proofErr w:type="spellEnd"/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пунктирная линия, использующаяся для изображения связей между единицами работ (UOW), а также между единицами работ и объектами ссылок. Значение задается аналитиком отдельно для каждого случая</w:t>
            </w:r>
          </w:p>
        </w:tc>
      </w:tr>
    </w:tbl>
    <w:p w:rsidR="007912DF" w:rsidRPr="007912DF" w:rsidRDefault="007912DF" w:rsidP="00791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912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Перекрестки (</w:t>
      </w:r>
      <w:proofErr w:type="spellStart"/>
      <w:r w:rsidRPr="007912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Junction</w:t>
      </w:r>
      <w:proofErr w:type="spellEnd"/>
      <w:r w:rsidRPr="007912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).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Окончание одной работы может служить сигналом к началу нескольких работ, или же одна работа для своего запуска может ожидать окончания нескольких работ. 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 Различают перекрестки для слияния (</w:t>
      </w:r>
      <w:proofErr w:type="spellStart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Fan-in</w:t>
      </w:r>
      <w:proofErr w:type="spellEnd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Junction</w:t>
      </w:r>
      <w:proofErr w:type="spellEnd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 разветвления (</w:t>
      </w:r>
      <w:proofErr w:type="spellStart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Fan-out</w:t>
      </w:r>
      <w:proofErr w:type="spellEnd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Junction</w:t>
      </w:r>
      <w:proofErr w:type="spellEnd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стрелок. Перекресток не может использоваться одновременно для слияния и для разветвления. 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Типы перекрестков: 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tbl>
      <w:tblPr>
        <w:tblW w:w="0" w:type="auto"/>
        <w:jc w:val="center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3"/>
        <w:gridCol w:w="2252"/>
        <w:gridCol w:w="2968"/>
        <w:gridCol w:w="2552"/>
      </w:tblGrid>
      <w:tr w:rsidR="007912DF" w:rsidRPr="007912DF" w:rsidTr="007912D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Обозначение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Смы</w:t>
            </w:r>
            <w:proofErr w:type="gramStart"/>
            <w:r w:rsidRPr="00791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сл в сл</w:t>
            </w:r>
            <w:proofErr w:type="gramEnd"/>
            <w:r w:rsidRPr="00791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учае слияния стрелок (</w:t>
            </w:r>
            <w:proofErr w:type="spellStart"/>
            <w:r w:rsidRPr="00791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Fan-in</w:t>
            </w:r>
            <w:proofErr w:type="spellEnd"/>
            <w:r w:rsidRPr="00791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91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Junction</w:t>
            </w:r>
            <w:proofErr w:type="spellEnd"/>
            <w:r w:rsidRPr="00791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Смы</w:t>
            </w:r>
            <w:proofErr w:type="gramStart"/>
            <w:r w:rsidRPr="00791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сл в сл</w:t>
            </w:r>
            <w:proofErr w:type="gramEnd"/>
            <w:r w:rsidRPr="00791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учае разветвления стрелок (</w:t>
            </w:r>
            <w:proofErr w:type="spellStart"/>
            <w:r w:rsidRPr="00791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Fan-out</w:t>
            </w:r>
            <w:proofErr w:type="spellEnd"/>
            <w:r w:rsidRPr="00791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91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Junction</w:t>
            </w:r>
            <w:proofErr w:type="spellEnd"/>
            <w:r w:rsidRPr="00791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)</w:t>
            </w:r>
          </w:p>
        </w:tc>
      </w:tr>
      <w:tr w:rsidR="007912DF" w:rsidRPr="007912DF" w:rsidTr="007912D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7912DF" w:rsidRPr="007912DF" w:rsidRDefault="007912DF" w:rsidP="00791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457200" cy="533400"/>
                  <wp:effectExtent l="0" t="0" r="0" b="0"/>
                  <wp:docPr id="8" name="Рисунок 8" descr="http://khpi-iip.mipk.kharkiv.edu/library/technpgm/labs/lab05.images/a_a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khpi-iip.mipk.kharkiv.edu/library/technpgm/labs/lab05.images/a_a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Асинхронное «И» (</w:t>
            </w:r>
            <w:proofErr w:type="spellStart"/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Asynchronous</w:t>
            </w:r>
            <w:proofErr w:type="spellEnd"/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AND)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предшествующие процессы должны быть завершены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следующие процессы должны быть запущены</w:t>
            </w:r>
          </w:p>
        </w:tc>
      </w:tr>
      <w:tr w:rsidR="007912DF" w:rsidRPr="007912DF" w:rsidTr="007912D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7912DF" w:rsidRPr="007912DF" w:rsidRDefault="007912DF" w:rsidP="00791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457200" cy="533400"/>
                  <wp:effectExtent l="0" t="0" r="0" b="0"/>
                  <wp:docPr id="7" name="Рисунок 7" descr="http://khpi-iip.mipk.kharkiv.edu/library/technpgm/labs/lab05.images/s_a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khpi-iip.mipk.kharkiv.edu/library/technpgm/labs/lab05.images/s_a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Синхронное «И» (</w:t>
            </w:r>
            <w:proofErr w:type="spellStart"/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Synchronous</w:t>
            </w:r>
            <w:proofErr w:type="spellEnd"/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AND)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предшествующие процессы завершены одновременно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 следующие процессы запускаются одновременно</w:t>
            </w:r>
          </w:p>
        </w:tc>
      </w:tr>
      <w:tr w:rsidR="007912DF" w:rsidRPr="007912DF" w:rsidTr="007912D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7912DF" w:rsidRPr="007912DF" w:rsidRDefault="007912DF" w:rsidP="00791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457200" cy="533400"/>
                  <wp:effectExtent l="0" t="0" r="0" b="0"/>
                  <wp:docPr id="6" name="Рисунок 6" descr="http://khpi-iip.mipk.kharkiv.edu/library/technpgm/labs/lab05.images/a_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khpi-iip.mipk.kharkiv.edu/library/technpgm/labs/lab05.images/a_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Асинхронное «ИЛИ» (</w:t>
            </w:r>
            <w:proofErr w:type="spellStart"/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Asynchronous</w:t>
            </w:r>
            <w:proofErr w:type="spellEnd"/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OR)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Один или несколько предшествующих процессов должны быть завершены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Один или несколько следующих процессов должны быть запущены</w:t>
            </w:r>
          </w:p>
        </w:tc>
      </w:tr>
      <w:tr w:rsidR="007912DF" w:rsidRPr="007912DF" w:rsidTr="007912D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7912DF" w:rsidRPr="007912DF" w:rsidRDefault="007912DF" w:rsidP="00791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457200" cy="533400"/>
                  <wp:effectExtent l="0" t="0" r="0" b="0"/>
                  <wp:docPr id="5" name="Рисунок 5" descr="http://khpi-iip.mipk.kharkiv.edu/library/technpgm/labs/lab05.images/s_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khpi-iip.mipk.kharkiv.edu/library/technpgm/labs/lab05.images/s_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Синхронное «ИЛИ» (</w:t>
            </w:r>
            <w:proofErr w:type="spellStart"/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Synchronous</w:t>
            </w:r>
            <w:proofErr w:type="spellEnd"/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OR)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Один или несколько предшествующих процессов завершены одновременно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Один или несколько следующих процессов запускаются одновременно</w:t>
            </w:r>
          </w:p>
        </w:tc>
      </w:tr>
      <w:tr w:rsidR="007912DF" w:rsidRPr="007912DF" w:rsidTr="007912D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7912DF" w:rsidRPr="007912DF" w:rsidRDefault="007912DF" w:rsidP="00791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457200" cy="533400"/>
                  <wp:effectExtent l="0" t="0" r="0" b="0"/>
                  <wp:docPr id="4" name="Рисунок 4" descr="http://khpi-iip.mipk.kharkiv.edu/library/technpgm/labs/lab05.images/x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khpi-iip.mipk.kharkiv.edu/library/technpgm/labs/lab05.images/x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Исключающее «ИЛИ» XOR (</w:t>
            </w:r>
            <w:proofErr w:type="spellStart"/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Exclusive</w:t>
            </w:r>
            <w:proofErr w:type="spellEnd"/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OR)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Только один предшествующий процесс завершен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2DF" w:rsidRPr="007912DF" w:rsidRDefault="007912DF" w:rsidP="0079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912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Только один следующий процесс запускается</w:t>
            </w:r>
          </w:p>
        </w:tc>
      </w:tr>
    </w:tbl>
    <w:p w:rsidR="007912DF" w:rsidRPr="007912DF" w:rsidRDefault="007912DF" w:rsidP="00791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 w:rsidRPr="007912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Объект ссылки.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Объект ссылки в IDEF3 выражает некую идею, концепцию или данные, которые нельзя связать со стрелкой, перекрестком или работой. Они используются в модели для привлечения внимания читателя к каким-либо важным аспектам модели. При внесении объектов ссылок помимо имени следует указывать тип объекта ссылки (рис. 2).</w:t>
      </w:r>
    </w:p>
    <w:p w:rsidR="007912DF" w:rsidRPr="007912DF" w:rsidRDefault="007912DF" w:rsidP="007912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95350" cy="523875"/>
            <wp:effectExtent l="0" t="0" r="0" b="9525"/>
            <wp:docPr id="3" name="Рисунок 3" descr="http://khpi-iip.mipk.kharkiv.edu/library/technpgm/labs/lab05.images/refere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khpi-iip.mipk.kharkiv.edu/library/technpgm/labs/lab05.images/referent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2DF" w:rsidRPr="007912DF" w:rsidRDefault="007912DF" w:rsidP="007912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2. Объект ссылки</w:t>
      </w:r>
    </w:p>
    <w:p w:rsidR="007912DF" w:rsidRPr="007912DF" w:rsidRDefault="007912DF" w:rsidP="00791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 данной лабораторной работе необходимо одну из работ, находящихся на диаграммах IDEF0, рассмотреть детально с помощью методологии IDEF3. При декомпозиции работы IDEF0 (и DFD) нужно учитывать, что стрелки на диаграммах IDEF0 или DFD означают потоки информации или объектов, передаваемых от одной работы к другой. На диаграммах IDEF3 стрелки могут показывать только последовательность выполнения работ, т.е. они имеют другой смысл, чем стрелки IDEF0 или DFD. Поэтому при декомпозиции работы IDEF0 или DFD в диаграмму IDEF3 стрелки не мигрируют на нижний уровень. Если необходимо показать на дочерней диаграмме IDEF3 те же объекты, что и на родительских диаграммах IDEF0 или DFD, необходимо использовать объекты ссылки. 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Проведем декомпозицию работы </w:t>
      </w:r>
      <w:r w:rsidRPr="007912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Сборка настольных компьютеров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диаграммы А3 "Сборка и тестирование компьютеров". Данная работа начинает выполняться, когда поступают заказы на сборку. Первым действием проверяется наличие необходимых для сборки комплектующих и заказ со склада отсутствующих. </w:t>
      </w:r>
      <w:proofErr w:type="gramStart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Далее комплектующие подготавливаются для последующей сборки (освобождение от упаковки, снятие заглушек и т.п.).</w:t>
      </w:r>
      <w:proofErr w:type="gramEnd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Следующим шагом начинается непосредственно сам процесс сборки: установка материнской платы в корпус и процессора на материнскую плату, установка ОЗУ и винчестера. Данные действия выполняются всегда, независимо от конфигурации компьютера. Далее по желанию клиента могут быть установлены некоторые дополнительные комплектующие - DVD привод, ТВ-тюнер, кард-</w:t>
      </w:r>
      <w:proofErr w:type="spellStart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ридер</w:t>
      </w:r>
      <w:proofErr w:type="spellEnd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 этом сборка компьютера завершается. Следующим шагом идет установка операционной системы. По желанию клиента также может быть установлено дополнительное программное обеспечение. Последним действием составляется отчет о проделанной работе. 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Выделим работу </w:t>
      </w:r>
      <w:r w:rsidRPr="007912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Сборка настольных компьютеров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диаграммы А3 "Сборка и тестирование компьютеров", нажмем на кнопку "</w:t>
      </w:r>
      <w:proofErr w:type="spellStart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Go</w:t>
      </w:r>
      <w:proofErr w:type="spellEnd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</w:t>
      </w:r>
      <w:proofErr w:type="spellEnd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Child</w:t>
      </w:r>
      <w:proofErr w:type="spellEnd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Diagram</w:t>
      </w:r>
      <w:proofErr w:type="spellEnd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 панели инструментов и выберем нотацию IDEF3. Дочерние работы всегда можно добавить на диаграмму в процессе ее построения, поэтому число дочерних работ оставим по умолчанию. При создании дочерней диаграммы </w:t>
      </w:r>
      <w:proofErr w:type="spellStart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BPWin</w:t>
      </w:r>
      <w:proofErr w:type="spellEnd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переносит граничные стрелки родительской работы, их необходимо удалить и </w:t>
      </w:r>
      <w:proofErr w:type="gramStart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заменить на объекты</w:t>
      </w:r>
      <w:proofErr w:type="gramEnd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ссылок. Заменим стрелки </w:t>
      </w:r>
      <w:r w:rsidRPr="007912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"Заказы на настольные компьютеры"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7912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"Необходимые комплектующие"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7912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"Список необходимых комплектующих"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7912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"Настольные компьютеры"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7912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"Результаты сборки"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 объекты ссылок - кнопка "</w:t>
      </w:r>
      <w:proofErr w:type="spellStart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Referent</w:t>
      </w:r>
      <w:proofErr w:type="spellEnd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на панели инструментов, в появившемся окне выбрать переключатель "</w:t>
      </w:r>
      <w:proofErr w:type="spellStart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Arrow</w:t>
      </w:r>
      <w:proofErr w:type="spellEnd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и выбрать из списка нужное название (рис. 3): 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7912DF" w:rsidRPr="007912DF" w:rsidRDefault="007912DF" w:rsidP="007912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286125" cy="2219325"/>
            <wp:effectExtent l="0" t="0" r="9525" b="9525"/>
            <wp:docPr id="2" name="Рисунок 2" descr="http://khpi-iip.mipk.kharkiv.edu/library/technpgm/labs/lab05.images/refer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khpi-iip.mipk.kharkiv.edu/library/technpgm/labs/lab05.images/referen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2DF" w:rsidRPr="007912DF" w:rsidRDefault="007912DF" w:rsidP="007912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3. Добавление объекта ссылки</w:t>
      </w:r>
    </w:p>
    <w:p w:rsidR="007912DF" w:rsidRPr="007912DF" w:rsidRDefault="007912DF" w:rsidP="00791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Далее начинаем располагать на диаграмме работы, отражающие указанные выше действия, выполняемые при сборке компьютеров. Итоговая диаграмма декомпозиции работы в нотации IDEF3 имеет вид: 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7912DF" w:rsidRPr="007912DF" w:rsidRDefault="007912DF" w:rsidP="007912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743575" cy="3562350"/>
            <wp:effectExtent l="0" t="0" r="9525" b="0"/>
            <wp:docPr id="1" name="Рисунок 1" descr="http://khpi-iip.mipk.kharkiv.edu/library/technpgm/labs/lab05.images/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khpi-iip.mipk.kharkiv.edu/library/technpgm/labs/lab05.images/diagram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2DF" w:rsidRPr="007912DF" w:rsidRDefault="007912DF" w:rsidP="007912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4. Диаграмма декомпозиции</w:t>
      </w:r>
    </w:p>
    <w:p w:rsidR="007912DF" w:rsidRPr="007912DF" w:rsidRDefault="007912DF" w:rsidP="00791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  <w:t>Рассмотрим основные особенности этой диаграммы. После проверки наличия необходимых для сборки комплектующих возможно одно из двух действий - или заказ со склада недостающих комплектующих, или, если все комплектующие в наличии, их подготовка. Поэтому мы поставили перекресток разветвления типа "</w:t>
      </w:r>
      <w:proofErr w:type="gramStart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Исключающее</w:t>
      </w:r>
      <w:proofErr w:type="gramEnd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ИЛИ". </w:t>
      </w:r>
      <w:proofErr w:type="spellStart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Работы</w:t>
      </w:r>
      <w:proofErr w:type="gramStart"/>
      <w:r w:rsidRPr="007912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"П</w:t>
      </w:r>
      <w:proofErr w:type="gramEnd"/>
      <w:r w:rsidRPr="007912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одготовка</w:t>
      </w:r>
      <w:proofErr w:type="spellEnd"/>
      <w:r w:rsidRPr="007912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комплектующих"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7912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"Установка материнской платы и процессора"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соединены связью "Поток объектов". Тем самым мы показываем, что между этими работами передаются объекты. Все последующие работы соединяются связями "старшая стрелка", поскольку они только показывают последовательность действий над одними и теме же объектами. 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После установки винчестера возможна установка DVD привода, ТВ-тюнера, кард-</w:t>
      </w:r>
      <w:proofErr w:type="spellStart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ридера</w:t>
      </w:r>
      <w:proofErr w:type="spellEnd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любая их комбинация. Поэтому мы поставили перекресток разветвления типа "</w:t>
      </w:r>
      <w:proofErr w:type="gramStart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Асинхронное</w:t>
      </w:r>
      <w:proofErr w:type="gramEnd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ИЛИ". Такой же перекресток стоит и после завершения этих работ. Далее после установки операционной системы может быть установлено </w:t>
      </w:r>
      <w:proofErr w:type="gramStart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дополнительное</w:t>
      </w:r>
      <w:proofErr w:type="gramEnd"/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ПО, или же сразу формируется отчет, поэтому мы поставили перекресток разветвления типа "Исключающее ИЛИ". За перекрестком разветвления типа "Исключающее ИЛИ" может следовать только такой же перекресток слияния, поэтому перед работой </w:t>
      </w:r>
      <w:r w:rsidRPr="007912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"Составление отчета о результатах сборки"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поставили такой же. </w:t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912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Содержание отчета:</w:t>
      </w:r>
    </w:p>
    <w:p w:rsidR="007912DF" w:rsidRPr="007912DF" w:rsidRDefault="007912DF" w:rsidP="00791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краткое описание декомпозируемой работы</w:t>
      </w:r>
    </w:p>
    <w:p w:rsidR="007912DF" w:rsidRPr="007912DF" w:rsidRDefault="007912DF" w:rsidP="00791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12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диаграмма декомпозиции</w:t>
      </w:r>
    </w:p>
    <w:p w:rsidR="00C87B85" w:rsidRDefault="002C4E32"/>
    <w:sectPr w:rsidR="00C87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C53DC"/>
    <w:multiLevelType w:val="multilevel"/>
    <w:tmpl w:val="A816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321B31"/>
    <w:multiLevelType w:val="multilevel"/>
    <w:tmpl w:val="C2AA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2DF"/>
    <w:rsid w:val="002C4E32"/>
    <w:rsid w:val="00530C94"/>
    <w:rsid w:val="007912DF"/>
    <w:rsid w:val="00D7610F"/>
    <w:rsid w:val="00FA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12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12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7912DF"/>
  </w:style>
  <w:style w:type="paragraph" w:styleId="a3">
    <w:name w:val="Balloon Text"/>
    <w:basedOn w:val="a"/>
    <w:link w:val="a4"/>
    <w:uiPriority w:val="99"/>
    <w:semiHidden/>
    <w:unhideWhenUsed/>
    <w:rsid w:val="00791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12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12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12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7912DF"/>
  </w:style>
  <w:style w:type="paragraph" w:styleId="a3">
    <w:name w:val="Balloon Text"/>
    <w:basedOn w:val="a"/>
    <w:link w:val="a4"/>
    <w:uiPriority w:val="99"/>
    <w:semiHidden/>
    <w:unhideWhenUsed/>
    <w:rsid w:val="00791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1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7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Semenenko A.</dc:creator>
  <cp:lastModifiedBy>Толик</cp:lastModifiedBy>
  <cp:revision>1</cp:revision>
  <dcterms:created xsi:type="dcterms:W3CDTF">2015-03-26T14:49:00Z</dcterms:created>
  <dcterms:modified xsi:type="dcterms:W3CDTF">2015-03-26T15:34:00Z</dcterms:modified>
</cp:coreProperties>
</file>