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 KD</w:t>
      </w:r>
      <w:r>
        <w:rPr>
          <w:lang w:val="en-GB"/>
        </w:rPr>
        <w:t xml:space="preserve">SingleApplication </w:t>
      </w:r>
      <w:r>
        <w:rPr>
          <w:lang w:val="en-GB"/>
        </w:rPr>
        <w:t>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14905</TotalTime>
  <Application>LibreOffice/6.1.6.3$Linux_X86_64 LibreOffice_project/10$Build-3</Application>
  <Pages>5</Pages>
  <Words>1011</Words>
  <Characters>5245</Characters>
  <CharactersWithSpaces>6192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2019-08-20T18:25:04Z</dcterms:modified>
  <cp:revision>7</cp:revision>
  <dc:subject/>
  <dc:title/>
</cp:coreProperties>
</file>