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AEFDB" w14:textId="77777777" w:rsidR="006C0756" w:rsidRDefault="006C0756">
      <w:pPr>
        <w:rPr>
          <w:b/>
          <w:bCs/>
        </w:rPr>
      </w:pPr>
    </w:p>
    <w:p w14:paraId="13BAEFDC" w14:textId="77777777" w:rsidR="006C0756" w:rsidRDefault="00000000">
      <w:pPr>
        <w:jc w:val="center"/>
        <w:rPr>
          <w:b/>
          <w:bCs/>
          <w:color w:val="073763"/>
          <w:sz w:val="36"/>
          <w:szCs w:val="36"/>
        </w:rPr>
      </w:pPr>
      <w:r>
        <w:rPr>
          <w:b/>
          <w:bCs/>
          <w:color w:val="073763"/>
          <w:sz w:val="36"/>
          <w:szCs w:val="36"/>
        </w:rPr>
        <w:t>CCT COLLEGE DUBLIN</w:t>
      </w:r>
    </w:p>
    <w:p w14:paraId="13BAEFDD" w14:textId="77777777" w:rsidR="006C0756" w:rsidRDefault="006C0756">
      <w:pPr>
        <w:jc w:val="center"/>
        <w:rPr>
          <w:sz w:val="36"/>
          <w:szCs w:val="36"/>
        </w:rPr>
      </w:pPr>
    </w:p>
    <w:p w14:paraId="13BAEFDE" w14:textId="77777777" w:rsidR="006C0756" w:rsidRDefault="00000000">
      <w:pPr>
        <w:spacing w:after="400" w:line="240" w:lineRule="auto"/>
        <w:jc w:val="center"/>
        <w:rPr>
          <w:sz w:val="28"/>
          <w:szCs w:val="28"/>
        </w:rPr>
      </w:pPr>
      <w:r>
        <w:rPr>
          <w:sz w:val="28"/>
          <w:szCs w:val="28"/>
        </w:rPr>
        <w:t>Big Data</w:t>
      </w:r>
      <w:r>
        <w:rPr>
          <w:i/>
          <w:iCs/>
          <w:sz w:val="28"/>
          <w:szCs w:val="28"/>
        </w:rPr>
        <w:t xml:space="preserve">  - </w:t>
      </w:r>
      <w:r>
        <w:rPr>
          <w:color w:val="444444"/>
          <w:sz w:val="28"/>
          <w:szCs w:val="28"/>
        </w:rPr>
        <w:t>Large-Scale Data Handling for Ireflix</w:t>
      </w:r>
    </w:p>
    <w:p w14:paraId="13BAEFDF" w14:textId="77777777" w:rsidR="006C0756" w:rsidRDefault="006C0756">
      <w:pPr>
        <w:jc w:val="center"/>
        <w:rPr>
          <w:sz w:val="28"/>
          <w:szCs w:val="28"/>
        </w:rPr>
      </w:pPr>
    </w:p>
    <w:p w14:paraId="13BAEFE0" w14:textId="77777777" w:rsidR="006C0756" w:rsidRDefault="006C0756">
      <w:pPr>
        <w:jc w:val="center"/>
        <w:rPr>
          <w:b/>
          <w:bCs/>
          <w:sz w:val="15"/>
          <w:szCs w:val="15"/>
        </w:rPr>
      </w:pPr>
    </w:p>
    <w:tbl>
      <w:tblPr>
        <w:tblStyle w:val="a"/>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6060"/>
      </w:tblGrid>
      <w:tr w:rsidR="006C0756" w14:paraId="13BAEFE3" w14:textId="77777777">
        <w:trPr>
          <w:jc w:val="center"/>
        </w:trPr>
        <w:tc>
          <w:tcPr>
            <w:tcW w:w="2940" w:type="dxa"/>
            <w:tcBorders>
              <w:top w:val="single" w:sz="18" w:space="0" w:color="0B5394"/>
              <w:left w:val="single" w:sz="18" w:space="0" w:color="0B5394"/>
              <w:bottom w:val="single" w:sz="18" w:space="0" w:color="0B5394"/>
              <w:right w:val="single" w:sz="18" w:space="0" w:color="0B5394"/>
            </w:tcBorders>
            <w:tcMar>
              <w:top w:w="100" w:type="dxa"/>
              <w:left w:w="100" w:type="dxa"/>
              <w:bottom w:w="100" w:type="dxa"/>
              <w:right w:w="100" w:type="dxa"/>
            </w:tcMar>
          </w:tcPr>
          <w:p w14:paraId="13BAEFE1" w14:textId="77777777" w:rsidR="006C0756" w:rsidRDefault="00000000">
            <w:pPr>
              <w:widowControl w:val="0"/>
              <w:rPr>
                <w:b/>
                <w:bCs/>
                <w:color w:val="0B5394"/>
                <w:sz w:val="20"/>
                <w:szCs w:val="20"/>
              </w:rPr>
            </w:pPr>
            <w:r>
              <w:rPr>
                <w:b/>
                <w:bCs/>
                <w:color w:val="0B5394"/>
                <w:sz w:val="20"/>
                <w:szCs w:val="20"/>
              </w:rPr>
              <w:t>Student Full Name</w:t>
            </w:r>
          </w:p>
        </w:tc>
        <w:tc>
          <w:tcPr>
            <w:tcW w:w="6060" w:type="dxa"/>
            <w:tcBorders>
              <w:top w:val="single" w:sz="18" w:space="0" w:color="0B5394"/>
              <w:left w:val="single" w:sz="18" w:space="0" w:color="0B5394"/>
              <w:bottom w:val="single" w:sz="18" w:space="0" w:color="0B5394"/>
              <w:right w:val="single" w:sz="18" w:space="0" w:color="0B5394"/>
            </w:tcBorders>
            <w:tcMar>
              <w:top w:w="100" w:type="dxa"/>
              <w:left w:w="100" w:type="dxa"/>
              <w:bottom w:w="100" w:type="dxa"/>
              <w:right w:w="100" w:type="dxa"/>
            </w:tcMar>
          </w:tcPr>
          <w:p w14:paraId="13BAEFE2" w14:textId="77777777" w:rsidR="006C0756" w:rsidRDefault="00000000">
            <w:pPr>
              <w:spacing w:after="160" w:line="480" w:lineRule="auto"/>
            </w:pPr>
            <w:r>
              <w:t>Arkadiusz Jedrzejewski</w:t>
            </w:r>
          </w:p>
        </w:tc>
      </w:tr>
      <w:tr w:rsidR="006C0756" w14:paraId="13BAEFE6" w14:textId="77777777">
        <w:trPr>
          <w:jc w:val="center"/>
        </w:trPr>
        <w:tc>
          <w:tcPr>
            <w:tcW w:w="2940" w:type="dxa"/>
            <w:tcBorders>
              <w:top w:val="single" w:sz="18" w:space="0" w:color="0B5394"/>
              <w:left w:val="single" w:sz="18" w:space="0" w:color="0B5394"/>
              <w:bottom w:val="single" w:sz="18" w:space="0" w:color="0B5394"/>
              <w:right w:val="single" w:sz="18" w:space="0" w:color="0B5394"/>
            </w:tcBorders>
            <w:tcMar>
              <w:top w:w="100" w:type="dxa"/>
              <w:left w:w="100" w:type="dxa"/>
              <w:bottom w:w="100" w:type="dxa"/>
              <w:right w:w="100" w:type="dxa"/>
            </w:tcMar>
          </w:tcPr>
          <w:p w14:paraId="13BAEFE4" w14:textId="77777777" w:rsidR="006C0756" w:rsidRDefault="00000000">
            <w:pPr>
              <w:widowControl w:val="0"/>
              <w:spacing w:line="240" w:lineRule="auto"/>
              <w:rPr>
                <w:b/>
                <w:bCs/>
                <w:color w:val="0B5394"/>
                <w:sz w:val="20"/>
                <w:szCs w:val="20"/>
              </w:rPr>
            </w:pPr>
            <w:r>
              <w:rPr>
                <w:b/>
                <w:bCs/>
                <w:color w:val="0B5394"/>
                <w:sz w:val="20"/>
                <w:szCs w:val="20"/>
              </w:rPr>
              <w:t>Student Number</w:t>
            </w:r>
          </w:p>
        </w:tc>
        <w:tc>
          <w:tcPr>
            <w:tcW w:w="6060" w:type="dxa"/>
            <w:tcBorders>
              <w:top w:val="single" w:sz="18" w:space="0" w:color="0B5394"/>
              <w:left w:val="single" w:sz="18" w:space="0" w:color="0B5394"/>
              <w:bottom w:val="single" w:sz="18" w:space="0" w:color="0B5394"/>
              <w:right w:val="single" w:sz="18" w:space="0" w:color="0B5394"/>
            </w:tcBorders>
            <w:tcMar>
              <w:top w:w="100" w:type="dxa"/>
              <w:left w:w="100" w:type="dxa"/>
              <w:bottom w:w="100" w:type="dxa"/>
              <w:right w:w="100" w:type="dxa"/>
            </w:tcMar>
          </w:tcPr>
          <w:p w14:paraId="13BAEFE5" w14:textId="77777777" w:rsidR="006C0756" w:rsidRDefault="00000000">
            <w:pPr>
              <w:spacing w:after="160" w:line="480" w:lineRule="auto"/>
            </w:pPr>
            <w:r>
              <w:t>sba25006</w:t>
            </w:r>
          </w:p>
        </w:tc>
      </w:tr>
      <w:tr w:rsidR="006C0756" w14:paraId="13BAEFEA" w14:textId="77777777">
        <w:trPr>
          <w:jc w:val="center"/>
        </w:trPr>
        <w:tc>
          <w:tcPr>
            <w:tcW w:w="2940" w:type="dxa"/>
            <w:tcBorders>
              <w:top w:val="single" w:sz="18" w:space="0" w:color="0B5394"/>
              <w:left w:val="single" w:sz="18" w:space="0" w:color="0B5394"/>
              <w:bottom w:val="single" w:sz="18" w:space="0" w:color="0B5394"/>
              <w:right w:val="single" w:sz="18" w:space="0" w:color="0B5394"/>
            </w:tcBorders>
            <w:tcMar>
              <w:top w:w="100" w:type="dxa"/>
              <w:left w:w="100" w:type="dxa"/>
              <w:bottom w:w="100" w:type="dxa"/>
              <w:right w:w="100" w:type="dxa"/>
            </w:tcMar>
          </w:tcPr>
          <w:p w14:paraId="13BAEFE7" w14:textId="77777777" w:rsidR="006C0756" w:rsidRDefault="00000000">
            <w:pPr>
              <w:widowControl w:val="0"/>
              <w:spacing w:line="240" w:lineRule="auto"/>
              <w:rPr>
                <w:b/>
                <w:bCs/>
                <w:color w:val="0B5394"/>
                <w:sz w:val="20"/>
                <w:szCs w:val="20"/>
              </w:rPr>
            </w:pPr>
            <w:r>
              <w:rPr>
                <w:b/>
                <w:bCs/>
                <w:color w:val="0B5394"/>
                <w:sz w:val="20"/>
                <w:szCs w:val="20"/>
              </w:rPr>
              <w:t>Module Title</w:t>
            </w:r>
          </w:p>
          <w:p w14:paraId="13BAEFE8" w14:textId="77777777" w:rsidR="006C0756" w:rsidRDefault="006C0756">
            <w:pPr>
              <w:widowControl w:val="0"/>
              <w:spacing w:line="240" w:lineRule="auto"/>
              <w:rPr>
                <w:b/>
                <w:bCs/>
                <w:color w:val="0B5394"/>
                <w:sz w:val="20"/>
                <w:szCs w:val="20"/>
              </w:rPr>
            </w:pPr>
          </w:p>
        </w:tc>
        <w:tc>
          <w:tcPr>
            <w:tcW w:w="6060" w:type="dxa"/>
            <w:tcBorders>
              <w:top w:val="single" w:sz="18" w:space="0" w:color="0B5394"/>
              <w:left w:val="single" w:sz="18" w:space="0" w:color="0B5394"/>
              <w:bottom w:val="single" w:sz="18" w:space="0" w:color="0B5394"/>
              <w:right w:val="single" w:sz="18" w:space="0" w:color="0B5394"/>
            </w:tcBorders>
            <w:tcMar>
              <w:top w:w="100" w:type="dxa"/>
              <w:left w:w="100" w:type="dxa"/>
              <w:bottom w:w="100" w:type="dxa"/>
              <w:right w:w="100" w:type="dxa"/>
            </w:tcMar>
          </w:tcPr>
          <w:p w14:paraId="13BAEFE9" w14:textId="77777777" w:rsidR="006C0756" w:rsidRDefault="00000000">
            <w:pPr>
              <w:spacing w:after="160" w:line="259" w:lineRule="auto"/>
            </w:pPr>
            <w:r>
              <w:rPr>
                <w:i/>
                <w:iCs/>
              </w:rPr>
              <w:t>Big Data Analytical Methods</w:t>
            </w:r>
          </w:p>
        </w:tc>
      </w:tr>
      <w:tr w:rsidR="006C0756" w14:paraId="13BAEFEE" w14:textId="77777777">
        <w:trPr>
          <w:jc w:val="center"/>
        </w:trPr>
        <w:tc>
          <w:tcPr>
            <w:tcW w:w="2940" w:type="dxa"/>
            <w:tcBorders>
              <w:top w:val="single" w:sz="18" w:space="0" w:color="0B5394"/>
              <w:left w:val="single" w:sz="18" w:space="0" w:color="0B5394"/>
              <w:bottom w:val="single" w:sz="18" w:space="0" w:color="0B5394"/>
              <w:right w:val="single" w:sz="18" w:space="0" w:color="0B5394"/>
            </w:tcBorders>
            <w:tcMar>
              <w:top w:w="100" w:type="dxa"/>
              <w:left w:w="100" w:type="dxa"/>
              <w:bottom w:w="100" w:type="dxa"/>
              <w:right w:w="100" w:type="dxa"/>
            </w:tcMar>
          </w:tcPr>
          <w:p w14:paraId="13BAEFEB" w14:textId="77777777" w:rsidR="006C0756" w:rsidRDefault="00000000">
            <w:pPr>
              <w:widowControl w:val="0"/>
              <w:spacing w:line="240" w:lineRule="auto"/>
              <w:rPr>
                <w:b/>
                <w:bCs/>
                <w:color w:val="0B5394"/>
                <w:sz w:val="20"/>
                <w:szCs w:val="20"/>
              </w:rPr>
            </w:pPr>
            <w:r>
              <w:rPr>
                <w:b/>
                <w:bCs/>
                <w:color w:val="0B5394"/>
                <w:sz w:val="20"/>
                <w:szCs w:val="20"/>
              </w:rPr>
              <w:t>Assessment Tittle</w:t>
            </w:r>
          </w:p>
          <w:p w14:paraId="13BAEFEC" w14:textId="77777777" w:rsidR="006C0756" w:rsidRDefault="006C0756">
            <w:pPr>
              <w:widowControl w:val="0"/>
              <w:spacing w:line="240" w:lineRule="auto"/>
              <w:rPr>
                <w:b/>
                <w:bCs/>
                <w:color w:val="0B5394"/>
                <w:sz w:val="20"/>
                <w:szCs w:val="20"/>
              </w:rPr>
            </w:pPr>
          </w:p>
        </w:tc>
        <w:tc>
          <w:tcPr>
            <w:tcW w:w="6060" w:type="dxa"/>
            <w:tcBorders>
              <w:top w:val="single" w:sz="18" w:space="0" w:color="0B5394"/>
              <w:left w:val="single" w:sz="18" w:space="0" w:color="0B5394"/>
              <w:bottom w:val="single" w:sz="18" w:space="0" w:color="0B5394"/>
              <w:right w:val="single" w:sz="18" w:space="0" w:color="0B5394"/>
            </w:tcBorders>
            <w:tcMar>
              <w:top w:w="100" w:type="dxa"/>
              <w:left w:w="100" w:type="dxa"/>
              <w:bottom w:w="100" w:type="dxa"/>
              <w:right w:w="100" w:type="dxa"/>
            </w:tcMar>
          </w:tcPr>
          <w:p w14:paraId="13BAEFED" w14:textId="77777777" w:rsidR="006C0756" w:rsidRDefault="00000000">
            <w:pPr>
              <w:spacing w:after="400" w:line="240" w:lineRule="auto"/>
            </w:pPr>
            <w:r>
              <w:t>Large-Scale Data Handling for Ireflix</w:t>
            </w:r>
          </w:p>
        </w:tc>
      </w:tr>
      <w:tr w:rsidR="006C0756" w14:paraId="13BAEFF1" w14:textId="77777777">
        <w:trPr>
          <w:jc w:val="center"/>
        </w:trPr>
        <w:tc>
          <w:tcPr>
            <w:tcW w:w="2940" w:type="dxa"/>
            <w:tcBorders>
              <w:top w:val="single" w:sz="18" w:space="0" w:color="0B5394"/>
              <w:left w:val="single" w:sz="18" w:space="0" w:color="0B5394"/>
              <w:bottom w:val="single" w:sz="18" w:space="0" w:color="0B5394"/>
              <w:right w:val="single" w:sz="18" w:space="0" w:color="0B5394"/>
            </w:tcBorders>
            <w:tcMar>
              <w:top w:w="100" w:type="dxa"/>
              <w:left w:w="100" w:type="dxa"/>
              <w:bottom w:w="100" w:type="dxa"/>
              <w:right w:w="100" w:type="dxa"/>
            </w:tcMar>
          </w:tcPr>
          <w:p w14:paraId="13BAEFEF" w14:textId="77777777" w:rsidR="006C0756" w:rsidRDefault="00000000">
            <w:pPr>
              <w:widowControl w:val="0"/>
              <w:spacing w:line="240" w:lineRule="auto"/>
              <w:rPr>
                <w:b/>
                <w:bCs/>
                <w:color w:val="0B5394"/>
                <w:sz w:val="20"/>
                <w:szCs w:val="20"/>
              </w:rPr>
            </w:pPr>
            <w:r>
              <w:rPr>
                <w:b/>
                <w:bCs/>
                <w:color w:val="0B5394"/>
                <w:sz w:val="20"/>
                <w:szCs w:val="20"/>
              </w:rPr>
              <w:t>Lecturer / Supervisor</w:t>
            </w:r>
          </w:p>
        </w:tc>
        <w:tc>
          <w:tcPr>
            <w:tcW w:w="6060" w:type="dxa"/>
            <w:tcBorders>
              <w:top w:val="single" w:sz="18" w:space="0" w:color="0B5394"/>
              <w:left w:val="single" w:sz="18" w:space="0" w:color="0B5394"/>
              <w:bottom w:val="single" w:sz="18" w:space="0" w:color="0B5394"/>
              <w:right w:val="single" w:sz="18" w:space="0" w:color="0B5394"/>
            </w:tcBorders>
            <w:tcMar>
              <w:top w:w="100" w:type="dxa"/>
              <w:left w:w="100" w:type="dxa"/>
              <w:bottom w:w="100" w:type="dxa"/>
              <w:right w:w="100" w:type="dxa"/>
            </w:tcMar>
          </w:tcPr>
          <w:p w14:paraId="13BAEFF0" w14:textId="77777777" w:rsidR="006C0756" w:rsidRDefault="00000000">
            <w:pPr>
              <w:widowControl w:val="0"/>
              <w:spacing w:line="229" w:lineRule="auto"/>
            </w:pPr>
            <w:r>
              <w:rPr>
                <w:i/>
                <w:iCs/>
              </w:rPr>
              <w:t>Dr. Kislay Raj and Dr. Muhammad Iqbal</w:t>
            </w:r>
          </w:p>
        </w:tc>
      </w:tr>
      <w:tr w:rsidR="006C0756" w14:paraId="13BAEFF5" w14:textId="77777777">
        <w:trPr>
          <w:jc w:val="center"/>
        </w:trPr>
        <w:tc>
          <w:tcPr>
            <w:tcW w:w="2940" w:type="dxa"/>
            <w:tcBorders>
              <w:top w:val="single" w:sz="18" w:space="0" w:color="0B5394"/>
              <w:left w:val="single" w:sz="18" w:space="0" w:color="0B5394"/>
              <w:bottom w:val="single" w:sz="18" w:space="0" w:color="0B5394"/>
              <w:right w:val="single" w:sz="18" w:space="0" w:color="0B5394"/>
            </w:tcBorders>
            <w:tcMar>
              <w:top w:w="100" w:type="dxa"/>
              <w:left w:w="100" w:type="dxa"/>
              <w:bottom w:w="100" w:type="dxa"/>
              <w:right w:w="100" w:type="dxa"/>
            </w:tcMar>
          </w:tcPr>
          <w:p w14:paraId="13BAEFF2" w14:textId="77777777" w:rsidR="006C0756" w:rsidRDefault="00000000">
            <w:pPr>
              <w:widowControl w:val="0"/>
              <w:spacing w:line="240" w:lineRule="auto"/>
              <w:rPr>
                <w:b/>
                <w:bCs/>
                <w:color w:val="0B5394"/>
                <w:sz w:val="20"/>
                <w:szCs w:val="20"/>
              </w:rPr>
            </w:pPr>
            <w:r>
              <w:rPr>
                <w:b/>
                <w:bCs/>
                <w:color w:val="0B5394"/>
                <w:sz w:val="20"/>
                <w:szCs w:val="20"/>
              </w:rPr>
              <w:t>Assessment Due Date</w:t>
            </w:r>
          </w:p>
          <w:p w14:paraId="13BAEFF3" w14:textId="77777777" w:rsidR="006C0756" w:rsidRDefault="006C0756">
            <w:pPr>
              <w:widowControl w:val="0"/>
              <w:spacing w:line="240" w:lineRule="auto"/>
              <w:rPr>
                <w:b/>
                <w:bCs/>
                <w:color w:val="0B5394"/>
                <w:sz w:val="20"/>
                <w:szCs w:val="20"/>
              </w:rPr>
            </w:pPr>
          </w:p>
        </w:tc>
        <w:tc>
          <w:tcPr>
            <w:tcW w:w="6060" w:type="dxa"/>
            <w:tcBorders>
              <w:top w:val="single" w:sz="18" w:space="0" w:color="0B5394"/>
              <w:left w:val="single" w:sz="18" w:space="0" w:color="0B5394"/>
              <w:bottom w:val="single" w:sz="18" w:space="0" w:color="0B5394"/>
              <w:right w:val="single" w:sz="18" w:space="0" w:color="0B5394"/>
            </w:tcBorders>
            <w:tcMar>
              <w:top w:w="100" w:type="dxa"/>
              <w:left w:w="100" w:type="dxa"/>
              <w:bottom w:w="100" w:type="dxa"/>
              <w:right w:w="100" w:type="dxa"/>
            </w:tcMar>
          </w:tcPr>
          <w:p w14:paraId="13BAEFF4" w14:textId="77777777" w:rsidR="006C0756" w:rsidRDefault="00000000">
            <w:pPr>
              <w:spacing w:after="160" w:line="259" w:lineRule="auto"/>
            </w:pPr>
            <w:r>
              <w:rPr>
                <w:i/>
                <w:iCs/>
              </w:rPr>
              <w:t>Sunday 31</w:t>
            </w:r>
            <w:r>
              <w:rPr>
                <w:i/>
                <w:iCs/>
                <w:vertAlign w:val="superscript"/>
              </w:rPr>
              <w:t>st</w:t>
            </w:r>
            <w:r>
              <w:rPr>
                <w:i/>
                <w:iCs/>
              </w:rPr>
              <w:t xml:space="preserve"> May 2026</w:t>
            </w:r>
          </w:p>
        </w:tc>
      </w:tr>
      <w:tr w:rsidR="006C0756" w14:paraId="13BAEFF9" w14:textId="77777777">
        <w:trPr>
          <w:jc w:val="center"/>
        </w:trPr>
        <w:tc>
          <w:tcPr>
            <w:tcW w:w="2940" w:type="dxa"/>
            <w:tcBorders>
              <w:top w:val="single" w:sz="18" w:space="0" w:color="0B5394"/>
              <w:left w:val="single" w:sz="18" w:space="0" w:color="0B5394"/>
              <w:bottom w:val="single" w:sz="18" w:space="0" w:color="0B5394"/>
              <w:right w:val="single" w:sz="18" w:space="0" w:color="0B5394"/>
            </w:tcBorders>
            <w:tcMar>
              <w:top w:w="100" w:type="dxa"/>
              <w:left w:w="100" w:type="dxa"/>
              <w:bottom w:w="100" w:type="dxa"/>
              <w:right w:w="100" w:type="dxa"/>
            </w:tcMar>
          </w:tcPr>
          <w:p w14:paraId="13BAEFF6" w14:textId="77777777" w:rsidR="006C0756" w:rsidRDefault="00000000">
            <w:pPr>
              <w:widowControl w:val="0"/>
              <w:spacing w:line="240" w:lineRule="auto"/>
              <w:rPr>
                <w:b/>
                <w:bCs/>
                <w:color w:val="0B5394"/>
                <w:sz w:val="20"/>
                <w:szCs w:val="20"/>
              </w:rPr>
            </w:pPr>
            <w:r>
              <w:rPr>
                <w:b/>
                <w:bCs/>
                <w:color w:val="0B5394"/>
                <w:sz w:val="20"/>
                <w:szCs w:val="20"/>
              </w:rPr>
              <w:t>Date of Submission</w:t>
            </w:r>
          </w:p>
          <w:p w14:paraId="13BAEFF7" w14:textId="77777777" w:rsidR="006C0756" w:rsidRDefault="006C0756">
            <w:pPr>
              <w:widowControl w:val="0"/>
              <w:spacing w:line="240" w:lineRule="auto"/>
              <w:rPr>
                <w:b/>
                <w:bCs/>
                <w:color w:val="0B5394"/>
                <w:sz w:val="20"/>
                <w:szCs w:val="20"/>
              </w:rPr>
            </w:pPr>
          </w:p>
        </w:tc>
        <w:tc>
          <w:tcPr>
            <w:tcW w:w="6060" w:type="dxa"/>
            <w:tcBorders>
              <w:top w:val="single" w:sz="18" w:space="0" w:color="0B5394"/>
              <w:left w:val="single" w:sz="18" w:space="0" w:color="0B5394"/>
              <w:bottom w:val="single" w:sz="18" w:space="0" w:color="0B5394"/>
              <w:right w:val="single" w:sz="18" w:space="0" w:color="0B5394"/>
            </w:tcBorders>
            <w:tcMar>
              <w:top w:w="100" w:type="dxa"/>
              <w:left w:w="100" w:type="dxa"/>
              <w:bottom w:w="100" w:type="dxa"/>
              <w:right w:w="100" w:type="dxa"/>
            </w:tcMar>
          </w:tcPr>
          <w:p w14:paraId="13BAEFF8" w14:textId="77777777" w:rsidR="006C0756" w:rsidRDefault="00000000">
            <w:pPr>
              <w:spacing w:after="160" w:line="259" w:lineRule="auto"/>
            </w:pPr>
            <w:r>
              <w:rPr>
                <w:i/>
                <w:iCs/>
              </w:rPr>
              <w:t>Saturday 30</w:t>
            </w:r>
            <w:r>
              <w:rPr>
                <w:i/>
                <w:iCs/>
                <w:vertAlign w:val="superscript"/>
              </w:rPr>
              <w:t>rd</w:t>
            </w:r>
            <w:r>
              <w:rPr>
                <w:i/>
                <w:iCs/>
              </w:rPr>
              <w:t xml:space="preserve"> May 2026</w:t>
            </w:r>
          </w:p>
        </w:tc>
      </w:tr>
    </w:tbl>
    <w:p w14:paraId="13BAEFFA" w14:textId="77777777" w:rsidR="006C0756" w:rsidRDefault="006C0756">
      <w:pPr>
        <w:rPr>
          <w:sz w:val="28"/>
          <w:szCs w:val="28"/>
        </w:rPr>
      </w:pPr>
    </w:p>
    <w:p w14:paraId="13BAEFFB" w14:textId="77777777" w:rsidR="006C0756" w:rsidRDefault="00000000">
      <w:pPr>
        <w:spacing w:after="160" w:line="259" w:lineRule="auto"/>
        <w:rPr>
          <w:rFonts w:ascii="Calibri" w:eastAsia="Calibri" w:hAnsi="Calibri" w:cs="Calibri"/>
          <w:b/>
          <w:bCs/>
          <w:sz w:val="28"/>
          <w:szCs w:val="28"/>
        </w:rPr>
      </w:pPr>
      <w:r>
        <w:rPr>
          <w:rFonts w:ascii="Calibri" w:eastAsia="Calibri" w:hAnsi="Calibri" w:cs="Calibri"/>
          <w:b/>
          <w:bCs/>
          <w:color w:val="156082"/>
          <w:sz w:val="32"/>
          <w:szCs w:val="32"/>
        </w:rPr>
        <w:t>Use of AI Tools</w:t>
      </w:r>
    </w:p>
    <w:p w14:paraId="13BAEFFC" w14:textId="77777777" w:rsidR="006C0756" w:rsidRDefault="00000000">
      <w:pPr>
        <w:spacing w:before="240" w:after="240" w:line="259" w:lineRule="auto"/>
        <w:rPr>
          <w:rFonts w:ascii="Calibri" w:eastAsia="Calibri" w:hAnsi="Calibri" w:cs="Calibri"/>
          <w:sz w:val="28"/>
          <w:szCs w:val="28"/>
        </w:rPr>
      </w:pPr>
      <w:r>
        <w:rPr>
          <w:rFonts w:ascii="Calibri" w:eastAsia="Calibri" w:hAnsi="Calibri" w:cs="Calibri"/>
          <w:sz w:val="28"/>
          <w:szCs w:val="28"/>
        </w:rPr>
        <w:t>AI tools were used in the preparation of this assessment in the following ways:</w:t>
      </w:r>
    </w:p>
    <w:p w14:paraId="13BAEFFD" w14:textId="77777777" w:rsidR="006C0756" w:rsidRDefault="00000000">
      <w:pPr>
        <w:spacing w:before="240" w:after="240" w:line="259" w:lineRule="auto"/>
        <w:rPr>
          <w:rFonts w:ascii="Calibri" w:eastAsia="Calibri" w:hAnsi="Calibri" w:cs="Calibri"/>
          <w:sz w:val="28"/>
          <w:szCs w:val="28"/>
        </w:rPr>
      </w:pPr>
      <w:r>
        <w:rPr>
          <w:rFonts w:ascii="Calibri" w:eastAsia="Calibri" w:hAnsi="Calibri" w:cs="Calibri"/>
          <w:sz w:val="28"/>
          <w:szCs w:val="28"/>
        </w:rPr>
        <w:t>1. Synthetic data generation (Jupyter Notebook — synthetic_data_generation.ipynb) AI was used to generate the complete Python code for synthetic data generation, including all seven datasets: Users, Movies, Series, Actors, Directors, UserMovies and UserSeries, using the Faker library with Irish locale (en_IE).</w:t>
      </w:r>
    </w:p>
    <w:p w14:paraId="13BAEFFE" w14:textId="57AC0932" w:rsidR="006C0756" w:rsidRDefault="00000000">
      <w:pPr>
        <w:spacing w:before="240" w:after="240" w:line="259" w:lineRule="auto"/>
        <w:rPr>
          <w:rFonts w:ascii="Calibri" w:eastAsia="Calibri" w:hAnsi="Calibri" w:cs="Calibri"/>
          <w:sz w:val="28"/>
          <w:szCs w:val="28"/>
        </w:rPr>
      </w:pPr>
      <w:r>
        <w:rPr>
          <w:rFonts w:ascii="Calibri" w:eastAsia="Calibri" w:hAnsi="Calibri" w:cs="Calibri"/>
          <w:sz w:val="28"/>
          <w:szCs w:val="28"/>
        </w:rPr>
        <w:t xml:space="preserve">2. SQL revenue column (CA1.sql) AI was used to generate a short SQL script to add a revenue column to the Movies table and populate it with approximated values calculated as ROUND(rating * 50000000), as noted in the comment on line 266: </w:t>
      </w:r>
      <w:r>
        <w:rPr>
          <w:rFonts w:ascii="Calibri" w:eastAsia="Calibri" w:hAnsi="Calibri" w:cs="Calibri"/>
          <w:i/>
          <w:iCs/>
          <w:sz w:val="28"/>
          <w:szCs w:val="28"/>
        </w:rPr>
        <w:t>"APPENDIX - AI generated Revenue"</w:t>
      </w:r>
      <w:r>
        <w:rPr>
          <w:rFonts w:ascii="Calibri" w:eastAsia="Calibri" w:hAnsi="Calibri" w:cs="Calibri"/>
          <w:sz w:val="28"/>
          <w:szCs w:val="28"/>
        </w:rPr>
        <w:t>.</w:t>
      </w:r>
    </w:p>
    <w:p w14:paraId="13BAEFFF" w14:textId="77777777" w:rsidR="006C0756" w:rsidRDefault="00000000">
      <w:pPr>
        <w:spacing w:before="240" w:after="240" w:line="259" w:lineRule="auto"/>
        <w:rPr>
          <w:rFonts w:ascii="Calibri" w:eastAsia="Calibri" w:hAnsi="Calibri" w:cs="Calibri"/>
          <w:sz w:val="28"/>
          <w:szCs w:val="28"/>
        </w:rPr>
      </w:pPr>
      <w:r>
        <w:rPr>
          <w:rFonts w:ascii="Calibri" w:eastAsia="Calibri" w:hAnsi="Calibri" w:cs="Calibri"/>
          <w:sz w:val="28"/>
          <w:szCs w:val="28"/>
        </w:rPr>
        <w:lastRenderedPageBreak/>
        <w:t>All AI-generated code was reviewed, tested and understood by the author before submission. AI was not used in the writing of the report, the database design, the SQL queries, or the MapReduce section of this assessment.</w:t>
      </w:r>
    </w:p>
    <w:p w14:paraId="13BAF000" w14:textId="77777777" w:rsidR="006C0756" w:rsidRDefault="00000000">
      <w:pPr>
        <w:spacing w:after="160" w:line="259" w:lineRule="auto"/>
        <w:rPr>
          <w:rFonts w:ascii="Calibri" w:eastAsia="Calibri" w:hAnsi="Calibri" w:cs="Calibri"/>
          <w:sz w:val="28"/>
          <w:szCs w:val="28"/>
        </w:rPr>
      </w:pPr>
      <w:r>
        <w:rPr>
          <w:noProof/>
        </w:rPr>
        <mc:AlternateContent>
          <mc:Choice Requires="wps">
            <w:drawing>
              <wp:anchor distT="0" distB="0" distL="114300" distR="114300" simplePos="0" relativeHeight="251658240" behindDoc="0" locked="0" layoutInCell="1" hidden="0" allowOverlap="1" wp14:anchorId="13BAF053" wp14:editId="13BAF054">
                <wp:simplePos x="0" y="0"/>
                <wp:positionH relativeFrom="column">
                  <wp:posOffset>1</wp:posOffset>
                </wp:positionH>
                <wp:positionV relativeFrom="paragraph">
                  <wp:posOffset>183155</wp:posOffset>
                </wp:positionV>
                <wp:extent cx="5886450" cy="2962275"/>
                <wp:effectExtent l="0" t="0" r="0" b="0"/>
                <wp:wrapNone/>
                <wp:docPr id="1" name="Rectangle 1"/>
                <wp:cNvGraphicFramePr/>
                <a:graphic xmlns:a="http://schemas.openxmlformats.org/drawingml/2006/main">
                  <a:graphicData uri="http://schemas.microsoft.com/office/word/2010/wordprocessingShape">
                    <wps:wsp>
                      <wps:cNvSpPr/>
                      <wps:spPr>
                        <a:xfrm>
                          <a:off x="2445638" y="2341725"/>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13BAF066" w14:textId="77777777" w:rsidR="006C0756" w:rsidRDefault="00000000">
                            <w:pPr>
                              <w:spacing w:after="160" w:line="258" w:lineRule="auto"/>
                              <w:textDirection w:val="btLr"/>
                            </w:pPr>
                            <w:r>
                              <w:rPr>
                                <w:rFonts w:ascii="Calibri" w:eastAsia="Calibri" w:hAnsi="Calibri" w:cs="Calibri"/>
                                <w:b/>
                                <w:color w:val="156082"/>
                                <w:sz w:val="32"/>
                              </w:rPr>
                              <w:t>Declaration</w:t>
                            </w:r>
                          </w:p>
                          <w:p w14:paraId="13BAF067" w14:textId="77777777" w:rsidR="006C0756" w:rsidRDefault="00000000">
                            <w:pPr>
                              <w:spacing w:after="160" w:line="258" w:lineRule="auto"/>
                              <w:textDirection w:val="btLr"/>
                            </w:pPr>
                            <w:r>
                              <w:rPr>
                                <w:rFonts w:ascii="Calibri" w:eastAsia="Calibri" w:hAnsi="Calibri" w:cs="Calibri"/>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3BAF068" w14:textId="77777777" w:rsidR="006C0756" w:rsidRDefault="00000000">
                            <w:pPr>
                              <w:spacing w:after="160" w:line="258" w:lineRule="auto"/>
                              <w:textDirection w:val="btLr"/>
                            </w:pPr>
                            <w:r>
                              <w:rPr>
                                <w:rFonts w:ascii="Calibri" w:eastAsia="Calibri" w:hAnsi="Calibri" w:cs="Calibri"/>
                                <w:color w:val="000000"/>
                                <w:sz w:val="28"/>
                              </w:rPr>
                              <w:t>I declare it to be my own work and that all material from third parties has been appropriately referenced.</w:t>
                            </w:r>
                          </w:p>
                          <w:p w14:paraId="13BAF069" w14:textId="77777777" w:rsidR="006C0756" w:rsidRDefault="00000000">
                            <w:pPr>
                              <w:spacing w:after="160" w:line="258" w:lineRule="auto"/>
                              <w:textDirection w:val="btLr"/>
                            </w:pPr>
                            <w:r>
                              <w:rPr>
                                <w:rFonts w:ascii="Calibri" w:eastAsia="Calibri" w:hAnsi="Calibri" w:cs="Calibri"/>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13BAF053" id="Rectangle 1" o:spid="_x0000_s1026" style="position:absolute;margin-left:0;margin-top:14.4pt;width:463.5pt;height:233.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" fillcolor="white [3201]" strokecolor="#4f81bd [3204]" strokeweight="2.25pt">
                <v:stroke startarrowwidth="narrow" startarrowlength="short" endarrowwidth="narrow" endarrowlength="short" joinstyle="round"/>
                <v:textbox inset="2.53958mm,1.2694mm,2.53958mm,1.2694mm">
                  <w:txbxContent>
                    <w:p w14:paraId="13BAF066" w14:textId="77777777" w:rsidR="006C0756" w:rsidRDefault="00000000">
                      <w:pPr>
                        <w:spacing w:after="160" w:line="258" w:lineRule="auto"/>
                        <w:textDirection w:val="btLr"/>
                      </w:pPr>
                      <w:r>
                        <w:rPr>
                          <w:rFonts w:ascii="Calibri" w:eastAsia="Calibri" w:hAnsi="Calibri" w:cs="Calibri"/>
                          <w:b/>
                          <w:color w:val="156082"/>
                          <w:sz w:val="32"/>
                        </w:rPr>
                        <w:t>Declaration</w:t>
                      </w:r>
                    </w:p>
                    <w:p w14:paraId="13BAF067" w14:textId="77777777" w:rsidR="006C0756" w:rsidRDefault="00000000">
                      <w:pPr>
                        <w:spacing w:after="160" w:line="258" w:lineRule="auto"/>
                        <w:textDirection w:val="btLr"/>
                      </w:pPr>
                      <w:r>
                        <w:rPr>
                          <w:rFonts w:ascii="Calibri" w:eastAsia="Calibri" w:hAnsi="Calibri" w:cs="Calibri"/>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3BAF068" w14:textId="77777777" w:rsidR="006C0756" w:rsidRDefault="00000000">
                      <w:pPr>
                        <w:spacing w:after="160" w:line="258" w:lineRule="auto"/>
                        <w:textDirection w:val="btLr"/>
                      </w:pPr>
                      <w:r>
                        <w:rPr>
                          <w:rFonts w:ascii="Calibri" w:eastAsia="Calibri" w:hAnsi="Calibri" w:cs="Calibri"/>
                          <w:color w:val="000000"/>
                          <w:sz w:val="28"/>
                        </w:rPr>
                        <w:t>I declare it to be my own work and that all material from third parties has been appropriately referenced.</w:t>
                      </w:r>
                    </w:p>
                    <w:p w14:paraId="13BAF069" w14:textId="77777777" w:rsidR="006C0756" w:rsidRDefault="00000000">
                      <w:pPr>
                        <w:spacing w:after="160" w:line="258" w:lineRule="auto"/>
                        <w:textDirection w:val="btLr"/>
                      </w:pPr>
                      <w:r>
                        <w:rPr>
                          <w:rFonts w:ascii="Calibri" w:eastAsia="Calibri" w:hAnsi="Calibri" w:cs="Calibri"/>
                          <w:color w:val="000000"/>
                          <w:sz w:val="28"/>
                        </w:rPr>
                        <w:t xml:space="preserve"> I further confirm that this work has not previously been submitted for assessment by myself or someone else in CCT College Dublin or any other higher education institution.</w:t>
                      </w:r>
                    </w:p>
                  </w:txbxContent>
                </v:textbox>
              </v:rect>
            </w:pict>
          </mc:Fallback>
        </mc:AlternateContent>
      </w:r>
    </w:p>
    <w:p w14:paraId="13BAF001" w14:textId="77777777" w:rsidR="006C0756" w:rsidRDefault="006C0756">
      <w:pPr>
        <w:spacing w:after="160" w:line="259" w:lineRule="auto"/>
        <w:rPr>
          <w:rFonts w:ascii="Calibri" w:eastAsia="Calibri" w:hAnsi="Calibri" w:cs="Calibri"/>
          <w:sz w:val="28"/>
          <w:szCs w:val="28"/>
        </w:rPr>
      </w:pPr>
    </w:p>
    <w:p w14:paraId="13BAF002" w14:textId="77777777" w:rsidR="006C0756" w:rsidRDefault="006C0756">
      <w:pPr>
        <w:spacing w:after="160" w:line="259" w:lineRule="auto"/>
        <w:rPr>
          <w:rFonts w:ascii="Calibri" w:eastAsia="Calibri" w:hAnsi="Calibri" w:cs="Calibri"/>
          <w:sz w:val="28"/>
          <w:szCs w:val="28"/>
        </w:rPr>
      </w:pPr>
    </w:p>
    <w:p w14:paraId="13BAF003" w14:textId="77777777" w:rsidR="006C0756" w:rsidRDefault="006C0756">
      <w:pPr>
        <w:spacing w:after="160" w:line="259" w:lineRule="auto"/>
        <w:rPr>
          <w:rFonts w:ascii="Calibri" w:eastAsia="Calibri" w:hAnsi="Calibri" w:cs="Calibri"/>
        </w:rPr>
      </w:pPr>
    </w:p>
    <w:p w14:paraId="13BAF004" w14:textId="77777777" w:rsidR="006C0756" w:rsidRDefault="006C0756">
      <w:pPr>
        <w:jc w:val="center"/>
        <w:rPr>
          <w:sz w:val="28"/>
          <w:szCs w:val="28"/>
        </w:rPr>
      </w:pPr>
    </w:p>
    <w:p w14:paraId="13BAF005" w14:textId="77777777" w:rsidR="006C0756" w:rsidRDefault="006C0756">
      <w:pPr>
        <w:jc w:val="center"/>
        <w:rPr>
          <w:sz w:val="28"/>
          <w:szCs w:val="28"/>
        </w:rPr>
      </w:pPr>
    </w:p>
    <w:p w14:paraId="13BAF006" w14:textId="77777777" w:rsidR="006C0756" w:rsidRDefault="006C0756">
      <w:pPr>
        <w:jc w:val="center"/>
        <w:rPr>
          <w:sz w:val="28"/>
          <w:szCs w:val="28"/>
        </w:rPr>
      </w:pPr>
    </w:p>
    <w:p w14:paraId="13BAF007" w14:textId="77777777" w:rsidR="006C0756" w:rsidRDefault="006C0756">
      <w:pPr>
        <w:jc w:val="center"/>
        <w:rPr>
          <w:sz w:val="28"/>
          <w:szCs w:val="28"/>
        </w:rPr>
      </w:pPr>
    </w:p>
    <w:p w14:paraId="13BAF008" w14:textId="77777777" w:rsidR="006C0756" w:rsidRDefault="006C0756">
      <w:pPr>
        <w:jc w:val="center"/>
        <w:rPr>
          <w:sz w:val="28"/>
          <w:szCs w:val="28"/>
        </w:rPr>
      </w:pPr>
    </w:p>
    <w:p w14:paraId="13BAF009" w14:textId="77777777" w:rsidR="006C0756" w:rsidRDefault="006C0756">
      <w:pPr>
        <w:jc w:val="center"/>
        <w:rPr>
          <w:sz w:val="28"/>
          <w:szCs w:val="28"/>
        </w:rPr>
      </w:pPr>
    </w:p>
    <w:p w14:paraId="13BAF00A" w14:textId="77777777" w:rsidR="006C0756" w:rsidRDefault="006C0756">
      <w:pPr>
        <w:jc w:val="both"/>
        <w:rPr>
          <w:b/>
          <w:bCs/>
          <w:color w:val="073763"/>
          <w:sz w:val="28"/>
          <w:szCs w:val="28"/>
        </w:rPr>
      </w:pPr>
    </w:p>
    <w:p w14:paraId="13BAF00B" w14:textId="77777777" w:rsidR="006C0756" w:rsidRDefault="006C0756">
      <w:pPr>
        <w:spacing w:after="100" w:line="240" w:lineRule="auto"/>
        <w:jc w:val="center"/>
        <w:rPr>
          <w:b/>
          <w:bCs/>
          <w:color w:val="1F3864"/>
          <w:sz w:val="28"/>
          <w:szCs w:val="28"/>
        </w:rPr>
      </w:pPr>
    </w:p>
    <w:p w14:paraId="13BAF00C" w14:textId="77777777" w:rsidR="006C0756" w:rsidRDefault="006C0756">
      <w:pPr>
        <w:spacing w:after="100" w:line="240" w:lineRule="auto"/>
        <w:jc w:val="center"/>
        <w:rPr>
          <w:b/>
          <w:bCs/>
          <w:color w:val="1F3864"/>
          <w:sz w:val="28"/>
          <w:szCs w:val="28"/>
        </w:rPr>
      </w:pPr>
    </w:p>
    <w:p w14:paraId="13BAF00D" w14:textId="77777777" w:rsidR="006C0756" w:rsidRDefault="006C0756">
      <w:pPr>
        <w:spacing w:after="100" w:line="240" w:lineRule="auto"/>
        <w:jc w:val="center"/>
        <w:rPr>
          <w:b/>
          <w:bCs/>
          <w:color w:val="1F3864"/>
          <w:sz w:val="28"/>
          <w:szCs w:val="28"/>
        </w:rPr>
      </w:pPr>
    </w:p>
    <w:p w14:paraId="13BAF00E" w14:textId="77777777" w:rsidR="006C0756" w:rsidRDefault="006C0756">
      <w:pPr>
        <w:spacing w:after="100" w:line="240" w:lineRule="auto"/>
        <w:jc w:val="center"/>
        <w:rPr>
          <w:b/>
          <w:bCs/>
          <w:color w:val="1F3864"/>
          <w:sz w:val="28"/>
          <w:szCs w:val="28"/>
        </w:rPr>
      </w:pPr>
    </w:p>
    <w:p w14:paraId="13BAF00F" w14:textId="77777777" w:rsidR="006C0756" w:rsidRDefault="006C0756">
      <w:pPr>
        <w:spacing w:after="100" w:line="240" w:lineRule="auto"/>
        <w:jc w:val="center"/>
        <w:rPr>
          <w:b/>
          <w:bCs/>
          <w:color w:val="1F3864"/>
          <w:sz w:val="28"/>
          <w:szCs w:val="28"/>
        </w:rPr>
      </w:pPr>
    </w:p>
    <w:p w14:paraId="13BAF010" w14:textId="77777777" w:rsidR="006C0756" w:rsidRDefault="006C0756">
      <w:pPr>
        <w:spacing w:after="100" w:line="240" w:lineRule="auto"/>
        <w:jc w:val="center"/>
        <w:rPr>
          <w:b/>
          <w:bCs/>
          <w:color w:val="1F3864"/>
          <w:sz w:val="28"/>
          <w:szCs w:val="28"/>
        </w:rPr>
      </w:pPr>
    </w:p>
    <w:p w14:paraId="13BAF011" w14:textId="77777777" w:rsidR="006C0756" w:rsidRDefault="006C0756">
      <w:pPr>
        <w:spacing w:after="100" w:line="240" w:lineRule="auto"/>
        <w:jc w:val="center"/>
        <w:rPr>
          <w:b/>
          <w:bCs/>
          <w:color w:val="1F3864"/>
          <w:sz w:val="28"/>
          <w:szCs w:val="28"/>
        </w:rPr>
      </w:pPr>
    </w:p>
    <w:p w14:paraId="13BAF012" w14:textId="77777777" w:rsidR="006C0756" w:rsidRDefault="006C0756">
      <w:pPr>
        <w:spacing w:after="100" w:line="240" w:lineRule="auto"/>
        <w:jc w:val="center"/>
        <w:rPr>
          <w:b/>
          <w:bCs/>
          <w:color w:val="1F3864"/>
          <w:sz w:val="28"/>
          <w:szCs w:val="28"/>
        </w:rPr>
      </w:pPr>
    </w:p>
    <w:p w14:paraId="13BAF013" w14:textId="77777777" w:rsidR="006C0756" w:rsidRDefault="006C0756">
      <w:pPr>
        <w:spacing w:after="100" w:line="240" w:lineRule="auto"/>
        <w:jc w:val="center"/>
        <w:rPr>
          <w:b/>
          <w:bCs/>
          <w:color w:val="1F3864"/>
          <w:sz w:val="28"/>
          <w:szCs w:val="28"/>
        </w:rPr>
      </w:pPr>
    </w:p>
    <w:p w14:paraId="13BAF014" w14:textId="77777777" w:rsidR="006C0756" w:rsidRDefault="006C0756">
      <w:pPr>
        <w:spacing w:after="100" w:line="240" w:lineRule="auto"/>
        <w:jc w:val="center"/>
        <w:rPr>
          <w:b/>
          <w:bCs/>
          <w:color w:val="1F3864"/>
          <w:sz w:val="28"/>
          <w:szCs w:val="28"/>
        </w:rPr>
      </w:pPr>
    </w:p>
    <w:p w14:paraId="13BAF015" w14:textId="77777777" w:rsidR="006C0756" w:rsidRDefault="006C0756">
      <w:pPr>
        <w:spacing w:after="100" w:line="240" w:lineRule="auto"/>
        <w:jc w:val="center"/>
        <w:rPr>
          <w:b/>
          <w:bCs/>
          <w:color w:val="1F3864"/>
          <w:sz w:val="28"/>
          <w:szCs w:val="28"/>
        </w:rPr>
      </w:pPr>
    </w:p>
    <w:p w14:paraId="13BAF016" w14:textId="77777777" w:rsidR="006C0756" w:rsidRDefault="006C0756">
      <w:pPr>
        <w:spacing w:after="100" w:line="240" w:lineRule="auto"/>
        <w:jc w:val="center"/>
        <w:rPr>
          <w:b/>
          <w:bCs/>
          <w:color w:val="1F3864"/>
          <w:sz w:val="28"/>
          <w:szCs w:val="28"/>
        </w:rPr>
      </w:pPr>
    </w:p>
    <w:p w14:paraId="13BAF017" w14:textId="77777777" w:rsidR="006C0756" w:rsidRDefault="006C0756">
      <w:pPr>
        <w:spacing w:after="100" w:line="240" w:lineRule="auto"/>
        <w:jc w:val="center"/>
        <w:rPr>
          <w:b/>
          <w:bCs/>
          <w:color w:val="1F3864"/>
          <w:sz w:val="28"/>
          <w:szCs w:val="28"/>
        </w:rPr>
      </w:pPr>
    </w:p>
    <w:p w14:paraId="13BAF018" w14:textId="77777777" w:rsidR="006C0756" w:rsidRDefault="006C0756">
      <w:pPr>
        <w:spacing w:after="100" w:line="240" w:lineRule="auto"/>
        <w:jc w:val="center"/>
        <w:rPr>
          <w:b/>
          <w:bCs/>
          <w:color w:val="1F3864"/>
          <w:sz w:val="28"/>
          <w:szCs w:val="28"/>
        </w:rPr>
      </w:pPr>
    </w:p>
    <w:p w14:paraId="13BAF019" w14:textId="77777777" w:rsidR="006C0756" w:rsidRDefault="006C0756">
      <w:pPr>
        <w:spacing w:after="100" w:line="240" w:lineRule="auto"/>
        <w:jc w:val="center"/>
        <w:rPr>
          <w:b/>
          <w:bCs/>
          <w:color w:val="1F3864"/>
          <w:sz w:val="28"/>
          <w:szCs w:val="28"/>
        </w:rPr>
      </w:pPr>
    </w:p>
    <w:p w14:paraId="13BAF01A" w14:textId="77777777" w:rsidR="006C0756" w:rsidRDefault="006C0756">
      <w:pPr>
        <w:spacing w:after="100" w:line="240" w:lineRule="auto"/>
        <w:jc w:val="center"/>
        <w:rPr>
          <w:b/>
          <w:bCs/>
          <w:color w:val="1F3864"/>
          <w:sz w:val="28"/>
          <w:szCs w:val="28"/>
        </w:rPr>
      </w:pPr>
    </w:p>
    <w:p w14:paraId="13BAF01B" w14:textId="77777777" w:rsidR="006C0756" w:rsidRDefault="006C0756">
      <w:pPr>
        <w:spacing w:after="100" w:line="240" w:lineRule="auto"/>
        <w:jc w:val="center"/>
        <w:rPr>
          <w:b/>
          <w:bCs/>
          <w:color w:val="1F3864"/>
          <w:sz w:val="28"/>
          <w:szCs w:val="28"/>
        </w:rPr>
      </w:pPr>
    </w:p>
    <w:p w14:paraId="13BAF01C" w14:textId="77777777" w:rsidR="006C0756" w:rsidRDefault="006C0756">
      <w:pPr>
        <w:spacing w:after="100" w:line="240" w:lineRule="auto"/>
        <w:jc w:val="center"/>
        <w:rPr>
          <w:b/>
          <w:bCs/>
          <w:color w:val="1F3864"/>
          <w:sz w:val="28"/>
          <w:szCs w:val="28"/>
        </w:rPr>
      </w:pPr>
    </w:p>
    <w:p w14:paraId="13BAF01D" w14:textId="77777777" w:rsidR="006C0756" w:rsidRDefault="006C0756">
      <w:pPr>
        <w:spacing w:after="100" w:line="240" w:lineRule="auto"/>
        <w:jc w:val="center"/>
        <w:rPr>
          <w:b/>
          <w:bCs/>
          <w:color w:val="1F3864"/>
          <w:sz w:val="28"/>
          <w:szCs w:val="28"/>
        </w:rPr>
      </w:pPr>
    </w:p>
    <w:p w14:paraId="13BAF01E" w14:textId="77777777" w:rsidR="006C0756" w:rsidRDefault="00000000">
      <w:pPr>
        <w:spacing w:after="100" w:line="240" w:lineRule="auto"/>
        <w:jc w:val="center"/>
        <w:rPr>
          <w:b/>
          <w:bCs/>
          <w:color w:val="1F3864"/>
          <w:sz w:val="30"/>
          <w:szCs w:val="30"/>
        </w:rPr>
      </w:pPr>
      <w:r>
        <w:rPr>
          <w:b/>
          <w:bCs/>
          <w:color w:val="1F3864"/>
          <w:sz w:val="30"/>
          <w:szCs w:val="30"/>
        </w:rPr>
        <w:lastRenderedPageBreak/>
        <w:t>CA1 – Big Data and Legacy Systems - REPORT</w:t>
      </w:r>
    </w:p>
    <w:p w14:paraId="13BAF01F" w14:textId="77777777" w:rsidR="006C0756" w:rsidRDefault="006C0756">
      <w:pPr>
        <w:spacing w:after="100" w:line="240" w:lineRule="auto"/>
        <w:jc w:val="center"/>
        <w:rPr>
          <w:b/>
          <w:bCs/>
          <w:color w:val="1F3864"/>
          <w:sz w:val="30"/>
          <w:szCs w:val="30"/>
        </w:rPr>
      </w:pPr>
    </w:p>
    <w:p w14:paraId="13BAF020" w14:textId="77777777" w:rsidR="006C0756" w:rsidRDefault="00000000">
      <w:pPr>
        <w:pStyle w:val="Subtitle"/>
        <w:numPr>
          <w:ilvl w:val="0"/>
          <w:numId w:val="1"/>
        </w:numPr>
        <w:spacing w:before="300" w:line="240" w:lineRule="auto"/>
        <w:rPr>
          <w:b/>
          <w:bCs/>
          <w:color w:val="073763"/>
          <w:sz w:val="28"/>
          <w:szCs w:val="28"/>
        </w:rPr>
      </w:pPr>
      <w:bookmarkStart w:id="0" w:name="_58f02i4vyehk" w:colFirst="0" w:colLast="0"/>
      <w:bookmarkEnd w:id="0"/>
      <w:r>
        <w:rPr>
          <w:b/>
          <w:bCs/>
          <w:color w:val="073763"/>
          <w:sz w:val="28"/>
          <w:szCs w:val="28"/>
        </w:rPr>
        <w:t>Big Data and the 3 Vs</w:t>
      </w:r>
    </w:p>
    <w:p w14:paraId="13BAF021" w14:textId="77777777" w:rsidR="006C0756" w:rsidRDefault="00000000">
      <w:pPr>
        <w:jc w:val="both"/>
        <w:rPr>
          <w:sz w:val="28"/>
          <w:szCs w:val="28"/>
        </w:rPr>
      </w:pPr>
      <w:r>
        <w:rPr>
          <w:sz w:val="28"/>
          <w:szCs w:val="28"/>
        </w:rPr>
        <w:t xml:space="preserve">The term "Big Data" has become a symbol of automation and efficient processing of large volumes of data, which represent both a challenge and a significant source of value for modern businesses and institutions. When we think about Big Data, we imagine an extraordinarily large database containing all kinds of information, which may be stored in a more or less organised and structured way. </w:t>
      </w:r>
    </w:p>
    <w:p w14:paraId="13BAF022" w14:textId="77777777" w:rsidR="006C0756" w:rsidRDefault="00000000">
      <w:pPr>
        <w:jc w:val="both"/>
        <w:rPr>
          <w:sz w:val="28"/>
          <w:szCs w:val="28"/>
        </w:rPr>
      </w:pPr>
      <w:r>
        <w:rPr>
          <w:sz w:val="28"/>
          <w:szCs w:val="28"/>
        </w:rPr>
        <w:t xml:space="preserve">There is no single universally accepted definition of Big Data; however, one definition proposed by IBM particularly stood out to me. </w:t>
      </w:r>
    </w:p>
    <w:p w14:paraId="13BAF023" w14:textId="77777777" w:rsidR="006C0756" w:rsidRDefault="00000000">
      <w:pPr>
        <w:jc w:val="both"/>
        <w:rPr>
          <w:sz w:val="28"/>
          <w:szCs w:val="28"/>
        </w:rPr>
      </w:pPr>
      <w:r>
        <w:rPr>
          <w:i/>
          <w:iCs/>
          <w:color w:val="161616"/>
          <w:sz w:val="28"/>
          <w:szCs w:val="28"/>
          <w:highlight w:val="white"/>
        </w:rPr>
        <w:t>"Big data refers to massive, complex datasets that traditional data management systems cannot handle"</w:t>
      </w:r>
      <w:r>
        <w:rPr>
          <w:color w:val="161616"/>
          <w:sz w:val="28"/>
          <w:szCs w:val="28"/>
          <w:highlight w:val="white"/>
        </w:rPr>
        <w:t xml:space="preserve"> (IBM, 2025).</w:t>
      </w:r>
      <w:r>
        <w:rPr>
          <w:sz w:val="28"/>
          <w:szCs w:val="28"/>
        </w:rPr>
        <w:t xml:space="preserve"> </w:t>
      </w:r>
      <w:r>
        <w:rPr>
          <w:sz w:val="28"/>
          <w:szCs w:val="28"/>
          <w:vertAlign w:val="superscript"/>
        </w:rPr>
        <w:footnoteReference w:id="1"/>
      </w:r>
    </w:p>
    <w:p w14:paraId="13BAF024" w14:textId="77777777" w:rsidR="006C0756" w:rsidRDefault="006C0756">
      <w:pPr>
        <w:jc w:val="both"/>
        <w:rPr>
          <w:sz w:val="28"/>
          <w:szCs w:val="28"/>
        </w:rPr>
      </w:pPr>
    </w:p>
    <w:p w14:paraId="13BAF025" w14:textId="77777777" w:rsidR="006C0756" w:rsidRDefault="00000000">
      <w:pPr>
        <w:jc w:val="both"/>
        <w:rPr>
          <w:b/>
          <w:bCs/>
          <w:sz w:val="28"/>
          <w:szCs w:val="28"/>
        </w:rPr>
      </w:pPr>
      <w:r>
        <w:rPr>
          <w:sz w:val="28"/>
          <w:szCs w:val="28"/>
        </w:rPr>
        <w:t>This term is characterised by specific properties that allow us to better understand what a given dataset is and how it should be managed. It is worth noting that I have come across two approaches to defining Big Data: the 3V model and the 5V model. We will focus on the first approach in a moment, but it is useful to know that the 5V concept goes beyond viewing data as simply a collection of raw data, and in an extended way adds two additional factors: Veracity and Value.</w:t>
      </w:r>
      <w:r>
        <w:rPr>
          <w:sz w:val="28"/>
          <w:szCs w:val="28"/>
          <w:vertAlign w:val="superscript"/>
        </w:rPr>
        <w:footnoteReference w:id="2"/>
      </w:r>
    </w:p>
    <w:p w14:paraId="13BAF026" w14:textId="77777777" w:rsidR="006C0756" w:rsidRDefault="00000000">
      <w:pPr>
        <w:spacing w:before="240" w:after="240"/>
        <w:jc w:val="both"/>
        <w:rPr>
          <w:sz w:val="28"/>
          <w:szCs w:val="28"/>
        </w:rPr>
      </w:pPr>
      <w:r>
        <w:rPr>
          <w:sz w:val="28"/>
          <w:szCs w:val="28"/>
        </w:rPr>
        <w:t>However, we focus on the 3 core terms that are most relevant in the context of Big Data. Volume refers to the quantity of data we hold; in our case of Ireflix, this means millions of user records, viewing histories and metadata. Velocity describes how quickly data can be produced and generated, and how fast we are able to process it on a streaming platform. Variety reflects how diverse the data is, from structured SQL tables, through semi-structured logs, to completely unstructured data such as user ratings and reviews</w:t>
      </w:r>
    </w:p>
    <w:p w14:paraId="13BAF027" w14:textId="77777777" w:rsidR="006C0756" w:rsidRDefault="006C0756">
      <w:pPr>
        <w:rPr>
          <w:sz w:val="28"/>
          <w:szCs w:val="28"/>
        </w:rPr>
      </w:pPr>
    </w:p>
    <w:p w14:paraId="13BAF028" w14:textId="77777777" w:rsidR="006C0756" w:rsidRDefault="00000000">
      <w:pPr>
        <w:rPr>
          <w:sz w:val="28"/>
          <w:szCs w:val="28"/>
        </w:rPr>
      </w:pPr>
      <w:r>
        <w:rPr>
          <w:sz w:val="28"/>
          <w:szCs w:val="28"/>
        </w:rPr>
        <w:lastRenderedPageBreak/>
        <w:t xml:space="preserve">The three dimensions of Big Data were first visualised by Laney (2001) as shown in Figure 1 below. </w:t>
      </w:r>
    </w:p>
    <w:p w14:paraId="13BAF029" w14:textId="77777777" w:rsidR="006C0756" w:rsidRDefault="006C0756"/>
    <w:p w14:paraId="13BAF02A" w14:textId="77777777" w:rsidR="006C0756" w:rsidRDefault="00000000">
      <w:r>
        <w:rPr>
          <w:noProof/>
        </w:rPr>
        <w:drawing>
          <wp:inline distT="114300" distB="114300" distL="114300" distR="114300" wp14:anchorId="13BAF055" wp14:editId="13BAF056">
            <wp:extent cx="5731200" cy="3746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3746500"/>
                    </a:xfrm>
                    <a:prstGeom prst="rect">
                      <a:avLst/>
                    </a:prstGeom>
                    <a:ln/>
                  </pic:spPr>
                </pic:pic>
              </a:graphicData>
            </a:graphic>
          </wp:inline>
        </w:drawing>
      </w:r>
    </w:p>
    <w:p w14:paraId="13BAF02B" w14:textId="77777777" w:rsidR="006C0756" w:rsidRDefault="00000000">
      <w:r>
        <w:rPr>
          <w:b/>
          <w:bCs/>
        </w:rPr>
        <w:t>Figure 1:</w:t>
      </w:r>
      <w:r>
        <w:t xml:space="preserve"> Data Management Solutions — the original 3V framework.</w:t>
      </w:r>
      <w:r>
        <w:rPr>
          <w:vertAlign w:val="superscript"/>
        </w:rPr>
        <w:footnoteReference w:id="3"/>
      </w:r>
    </w:p>
    <w:p w14:paraId="13BAF02C" w14:textId="77777777" w:rsidR="006C0756" w:rsidRDefault="006C0756"/>
    <w:p w14:paraId="13BAF02D" w14:textId="77777777" w:rsidR="006C0756" w:rsidRDefault="00000000">
      <w:pPr>
        <w:spacing w:before="240" w:after="240"/>
        <w:jc w:val="both"/>
        <w:rPr>
          <w:sz w:val="28"/>
          <w:szCs w:val="28"/>
        </w:rPr>
      </w:pPr>
      <w:r>
        <w:rPr>
          <w:sz w:val="28"/>
          <w:szCs w:val="28"/>
        </w:rPr>
        <w:t>In the case of Ireflix, we can expect to deal with large volume, where millions of target users will be watching hundreds or even thousands of movies and series available on the platform, and in the future possibly applications and games as well. Velocity may be greater than we think, as it will be generated in relation to all user activity on the platform. Variety will be reflected in every type of data, from structured SQL tables, through metadata and logs, to completely unstructured data such as ratings.</w:t>
      </w:r>
    </w:p>
    <w:p w14:paraId="13BAF02E" w14:textId="77777777" w:rsidR="006C0756" w:rsidRDefault="00000000">
      <w:r>
        <w:t xml:space="preserve"> </w:t>
      </w:r>
    </w:p>
    <w:p w14:paraId="13BAF02F" w14:textId="77777777" w:rsidR="006C0756" w:rsidRDefault="00000000">
      <w:pPr>
        <w:pStyle w:val="Subtitle"/>
        <w:numPr>
          <w:ilvl w:val="0"/>
          <w:numId w:val="1"/>
        </w:numPr>
        <w:spacing w:before="300" w:line="240" w:lineRule="auto"/>
        <w:rPr>
          <w:b/>
          <w:bCs/>
          <w:color w:val="073763"/>
        </w:rPr>
      </w:pPr>
      <w:bookmarkStart w:id="1" w:name="_fwcfvgrdq888" w:colFirst="0" w:colLast="0"/>
      <w:bookmarkEnd w:id="1"/>
      <w:r>
        <w:rPr>
          <w:b/>
          <w:bCs/>
          <w:color w:val="073763"/>
        </w:rPr>
        <w:t>Big Data Challenges for Ireflix at 50 Million Users</w:t>
      </w:r>
    </w:p>
    <w:p w14:paraId="13BAF030" w14:textId="77777777" w:rsidR="006C0756" w:rsidRDefault="00000000">
      <w:pPr>
        <w:spacing w:before="240" w:after="240"/>
        <w:jc w:val="both"/>
        <w:rPr>
          <w:sz w:val="28"/>
          <w:szCs w:val="28"/>
        </w:rPr>
      </w:pPr>
      <w:r>
        <w:rPr>
          <w:sz w:val="28"/>
          <w:szCs w:val="28"/>
        </w:rPr>
        <w:t xml:space="preserve">The first challenge will be the legal framework. If we assume that we are an Irish company, we need to take into account both local law and </w:t>
      </w:r>
      <w:r>
        <w:rPr>
          <w:sz w:val="28"/>
          <w:szCs w:val="28"/>
        </w:rPr>
        <w:lastRenderedPageBreak/>
        <w:t>European Union law, which sets the boundaries for how we operate and process our databases. In this context, we will be operating within the scope of GDPR, enforced in Ireland by the Data Protection Commission.</w:t>
      </w:r>
      <w:r>
        <w:rPr>
          <w:sz w:val="28"/>
          <w:szCs w:val="28"/>
          <w:vertAlign w:val="superscript"/>
        </w:rPr>
        <w:footnoteReference w:id="4"/>
      </w:r>
      <w:r>
        <w:rPr>
          <w:sz w:val="28"/>
          <w:szCs w:val="28"/>
        </w:rPr>
        <w:t xml:space="preserve">  Every user record must be stored lawfully, with clear consent mechanisms and the right to erasure implemented at the appropriate moment, for example upon a direct request from the user.</w:t>
      </w:r>
    </w:p>
    <w:p w14:paraId="13BAF031" w14:textId="77777777" w:rsidR="006C0756" w:rsidRDefault="00000000">
      <w:pPr>
        <w:jc w:val="both"/>
        <w:rPr>
          <w:sz w:val="24"/>
          <w:szCs w:val="24"/>
        </w:rPr>
      </w:pPr>
      <w:r>
        <w:rPr>
          <w:sz w:val="28"/>
          <w:szCs w:val="28"/>
        </w:rPr>
        <w:t>For Ireflix, database architecture must be designed with technical complexity to address an already large-scale data management challenge. Our data will rely on machine learning algorithms to power content recommendation systems; it must also comply with the EU Artificial Intelligence Act (2024), which requires transparency, human oversight, and documented risk assessments</w:t>
      </w:r>
      <w:r>
        <w:rPr>
          <w:sz w:val="24"/>
          <w:szCs w:val="24"/>
        </w:rPr>
        <w:t>.</w:t>
      </w:r>
      <w:r>
        <w:rPr>
          <w:sz w:val="24"/>
          <w:szCs w:val="24"/>
          <w:vertAlign w:val="superscript"/>
        </w:rPr>
        <w:footnoteReference w:id="5"/>
      </w:r>
    </w:p>
    <w:p w14:paraId="13BAF032" w14:textId="77777777" w:rsidR="006C0756" w:rsidRDefault="00000000">
      <w:pPr>
        <w:spacing w:before="240" w:after="240"/>
        <w:jc w:val="both"/>
        <w:rPr>
          <w:sz w:val="28"/>
          <w:szCs w:val="28"/>
        </w:rPr>
      </w:pPr>
      <w:r>
        <w:rPr>
          <w:sz w:val="28"/>
          <w:szCs w:val="28"/>
        </w:rPr>
        <w:t>The second challenge may be Volume, or more precisely, how we will store the constantly growing database of our tables and data relating to movies and logs, as petabytes of new data will accumulate exponentially. The question is whether we will need to invest in our own infrastructure, sign agreements with major players and use AWS or Azure, or whether a hybrid solution in the context of GDPR and AI regulations will require broader analysis, and this ties directly into the problem of scalability.</w:t>
      </w:r>
      <w:r>
        <w:rPr>
          <w:sz w:val="28"/>
          <w:szCs w:val="28"/>
          <w:vertAlign w:val="superscript"/>
        </w:rPr>
        <w:footnoteReference w:id="6"/>
      </w:r>
    </w:p>
    <w:p w14:paraId="13BAF033" w14:textId="77777777" w:rsidR="006C0756" w:rsidRDefault="00000000">
      <w:pPr>
        <w:pStyle w:val="Subtitle"/>
        <w:keepNext w:val="0"/>
        <w:keepLines w:val="0"/>
        <w:numPr>
          <w:ilvl w:val="0"/>
          <w:numId w:val="1"/>
        </w:numPr>
        <w:spacing w:before="300" w:line="240" w:lineRule="auto"/>
        <w:rPr>
          <w:b/>
          <w:bCs/>
          <w:color w:val="073763"/>
        </w:rPr>
      </w:pPr>
      <w:bookmarkStart w:id="2" w:name="_t77mci2ykbll" w:colFirst="0" w:colLast="0"/>
      <w:bookmarkEnd w:id="2"/>
      <w:r>
        <w:rPr>
          <w:b/>
          <w:bCs/>
          <w:color w:val="073763"/>
        </w:rPr>
        <w:t>Horizontal versus Vertical  Scaling</w:t>
      </w:r>
    </w:p>
    <w:p w14:paraId="13BAF034" w14:textId="77777777" w:rsidR="006C0756" w:rsidRDefault="00000000">
      <w:r>
        <w:rPr>
          <w:noProof/>
        </w:rPr>
        <w:lastRenderedPageBreak/>
        <w:drawing>
          <wp:inline distT="114300" distB="114300" distL="114300" distR="114300" wp14:anchorId="13BAF057" wp14:editId="13BAF058">
            <wp:extent cx="5731200" cy="23114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2311400"/>
                    </a:xfrm>
                    <a:prstGeom prst="rect">
                      <a:avLst/>
                    </a:prstGeom>
                    <a:ln/>
                  </pic:spPr>
                </pic:pic>
              </a:graphicData>
            </a:graphic>
          </wp:inline>
        </w:drawing>
      </w:r>
    </w:p>
    <w:p w14:paraId="13BAF035" w14:textId="77777777" w:rsidR="006C0756" w:rsidRDefault="00000000">
      <w:r>
        <w:rPr>
          <w:b/>
          <w:bCs/>
        </w:rPr>
        <w:t>Figure 2:</w:t>
      </w:r>
      <w:r>
        <w:t xml:space="preserve"> Vertical vs. Horizontal Scaling.</w:t>
      </w:r>
      <w:r>
        <w:rPr>
          <w:vertAlign w:val="superscript"/>
        </w:rPr>
        <w:footnoteReference w:id="7"/>
      </w:r>
    </w:p>
    <w:p w14:paraId="13BAF036" w14:textId="77777777" w:rsidR="006C0756" w:rsidRDefault="006C0756"/>
    <w:p w14:paraId="13BAF037" w14:textId="77777777" w:rsidR="006C0756" w:rsidRDefault="00000000">
      <w:pPr>
        <w:spacing w:before="240" w:after="240"/>
        <w:jc w:val="both"/>
        <w:rPr>
          <w:sz w:val="28"/>
          <w:szCs w:val="28"/>
        </w:rPr>
      </w:pPr>
      <w:r>
        <w:rPr>
          <w:sz w:val="28"/>
          <w:szCs w:val="28"/>
        </w:rPr>
        <w:t>Vertical scaling involves expanding an existing server by adding more RAM, processing power or larger storage drives. It is a straightforward and quick solution, but it has its limitations. At a certain point, it is no longer possible to upgrade a single machine further, and on top of that, if that one server goes down, the entire platform stops working.</w:t>
      </w:r>
    </w:p>
    <w:p w14:paraId="13BAF038" w14:textId="77777777" w:rsidR="006C0756" w:rsidRDefault="00000000">
      <w:pPr>
        <w:spacing w:before="240" w:after="240"/>
        <w:jc w:val="both"/>
      </w:pPr>
      <w:r>
        <w:rPr>
          <w:sz w:val="28"/>
          <w:szCs w:val="28"/>
        </w:rPr>
        <w:t>Horizontal scaling works oppositely. Instead of upgrading a single server, we add more machines and distribute the load across them. Hardware can be added and removed flexibly depending on current demand.</w:t>
      </w:r>
    </w:p>
    <w:p w14:paraId="13BAF039" w14:textId="77777777" w:rsidR="006C0756" w:rsidRDefault="00000000">
      <w:pPr>
        <w:spacing w:before="240" w:after="240"/>
        <w:jc w:val="both"/>
        <w:rPr>
          <w:sz w:val="28"/>
          <w:szCs w:val="28"/>
        </w:rPr>
      </w:pPr>
      <w:r>
        <w:rPr>
          <w:sz w:val="28"/>
          <w:szCs w:val="28"/>
        </w:rPr>
        <w:t>For Ireflix, horizontal scaling is the right choice. The platform is starting in Ireland but is aiming for global expansion, just like its competitors, which means we need to be ready for unpredictable spikes in data processing, for example during major new title releases. We can still debate which exact direction to take, but adding new machines alongside a partial hybrid cloud infrastructure seems like a sensible path forward — keeping sensitive data on local servers while moving the rest to the cloud, giving us the scalability we need as we grow.</w:t>
      </w:r>
    </w:p>
    <w:p w14:paraId="13BAF03A" w14:textId="77777777" w:rsidR="006C0756" w:rsidRDefault="006C0756">
      <w:pPr>
        <w:spacing w:before="240" w:after="240"/>
        <w:jc w:val="both"/>
        <w:rPr>
          <w:sz w:val="28"/>
          <w:szCs w:val="28"/>
        </w:rPr>
      </w:pPr>
    </w:p>
    <w:p w14:paraId="13BAF03B" w14:textId="77777777" w:rsidR="006C0756" w:rsidRDefault="006C0756"/>
    <w:p w14:paraId="13BAF03C" w14:textId="77777777" w:rsidR="006C0756" w:rsidRDefault="006C0756"/>
    <w:p w14:paraId="13BAF03D" w14:textId="77777777" w:rsidR="006C0756" w:rsidRDefault="00000000">
      <w:pPr>
        <w:pStyle w:val="Subtitle"/>
        <w:keepNext w:val="0"/>
        <w:keepLines w:val="0"/>
        <w:numPr>
          <w:ilvl w:val="0"/>
          <w:numId w:val="1"/>
        </w:numPr>
        <w:spacing w:before="300" w:line="240" w:lineRule="auto"/>
        <w:rPr>
          <w:b/>
          <w:bCs/>
          <w:color w:val="073763"/>
        </w:rPr>
      </w:pPr>
      <w:bookmarkStart w:id="3" w:name="_z6gpyivirk5i" w:colFirst="0" w:colLast="0"/>
      <w:bookmarkEnd w:id="3"/>
      <w:r>
        <w:rPr>
          <w:b/>
          <w:bCs/>
          <w:color w:val="073763"/>
        </w:rPr>
        <w:lastRenderedPageBreak/>
        <w:t>Real-World Organisations Using Big Data</w:t>
      </w:r>
    </w:p>
    <w:p w14:paraId="13BAF03E" w14:textId="77777777" w:rsidR="006C0756" w:rsidRDefault="006C0756">
      <w:pPr>
        <w:pStyle w:val="Subtitle"/>
        <w:keepNext w:val="0"/>
        <w:keepLines w:val="0"/>
        <w:spacing w:before="300" w:line="240" w:lineRule="auto"/>
        <w:rPr>
          <w:b/>
          <w:bCs/>
          <w:color w:val="2E75B6"/>
          <w:sz w:val="24"/>
          <w:szCs w:val="24"/>
        </w:rPr>
      </w:pPr>
      <w:bookmarkStart w:id="4" w:name="_2q4vn8hz0l6p" w:colFirst="0" w:colLast="0"/>
      <w:bookmarkEnd w:id="4"/>
    </w:p>
    <w:p w14:paraId="13BAF03F" w14:textId="77777777" w:rsidR="006C0756" w:rsidRDefault="00000000">
      <w:pPr>
        <w:spacing w:before="240" w:after="240" w:line="240" w:lineRule="auto"/>
        <w:jc w:val="both"/>
        <w:rPr>
          <w:sz w:val="28"/>
          <w:szCs w:val="28"/>
        </w:rPr>
      </w:pPr>
      <w:r>
        <w:rPr>
          <w:sz w:val="28"/>
          <w:szCs w:val="28"/>
        </w:rPr>
        <w:t>Pfizer is the world's largest pharmaceutical company and a clear example that Big Data touches every area of human life. In 2019, Pfizer, together with Amazon Web Services, built what is known as the Scientific Data Cloud, a kind of central portal that collects data from hundreds of laboratories and allows scientists to search through historical molecular data in real time. For the analysis of clinical trial data, the company uses AWS, Snowflake and Fivetran.</w:t>
      </w:r>
      <w:r>
        <w:rPr>
          <w:sz w:val="28"/>
          <w:szCs w:val="28"/>
          <w:vertAlign w:val="superscript"/>
        </w:rPr>
        <w:footnoteReference w:id="8"/>
      </w:r>
    </w:p>
    <w:p w14:paraId="13BAF040" w14:textId="77777777" w:rsidR="006C0756" w:rsidRDefault="00000000">
      <w:pPr>
        <w:spacing w:before="240" w:after="240" w:line="240" w:lineRule="auto"/>
        <w:jc w:val="both"/>
        <w:rPr>
          <w:b/>
          <w:bCs/>
          <w:color w:val="2E75B6"/>
          <w:sz w:val="24"/>
          <w:szCs w:val="24"/>
        </w:rPr>
      </w:pPr>
      <w:r>
        <w:rPr>
          <w:sz w:val="28"/>
          <w:szCs w:val="28"/>
        </w:rPr>
        <w:t>The company's goal is to shorten the processing of clinical trials and accelerate the journey from molecule discovery to drug registration. A central platform of this kind is a very effective solution that Ireflix could look to adopt in its own data architecture.</w:t>
      </w:r>
    </w:p>
    <w:p w14:paraId="13BAF041" w14:textId="77777777" w:rsidR="006C0756" w:rsidRDefault="00000000">
      <w:pPr>
        <w:spacing w:before="240" w:after="240" w:line="240" w:lineRule="auto"/>
        <w:jc w:val="both"/>
        <w:rPr>
          <w:sz w:val="28"/>
          <w:szCs w:val="28"/>
        </w:rPr>
      </w:pPr>
      <w:r>
        <w:rPr>
          <w:sz w:val="28"/>
          <w:szCs w:val="28"/>
        </w:rPr>
        <w:t>Who among us has never called a taxi? Uber operates in over 70 countries and every day processes trillions of messages generated by the driver and passenger layers of its application. The heart of its infrastructure is Apache Kafka, which collects data in real time and passes it to Apache Flink, where it is processed instantly.</w:t>
      </w:r>
      <w:r>
        <w:rPr>
          <w:sz w:val="28"/>
          <w:szCs w:val="28"/>
          <w:vertAlign w:val="superscript"/>
        </w:rPr>
        <w:footnoteReference w:id="9"/>
      </w:r>
      <w:r>
        <w:rPr>
          <w:sz w:val="28"/>
          <w:szCs w:val="28"/>
        </w:rPr>
        <w:t xml:space="preserve"> The most well-known example of this in action is surge pricing, a system that calculates the dynamic price of a ride within seconds based on the current supply of drivers and demand from passengers in a given area.</w:t>
      </w:r>
      <w:r>
        <w:rPr>
          <w:sz w:val="28"/>
          <w:szCs w:val="28"/>
          <w:vertAlign w:val="superscript"/>
        </w:rPr>
        <w:footnoteReference w:id="10"/>
      </w:r>
    </w:p>
    <w:p w14:paraId="13BAF042" w14:textId="77777777" w:rsidR="006C0756" w:rsidRDefault="00000000">
      <w:pPr>
        <w:spacing w:before="240" w:after="240" w:line="240" w:lineRule="auto"/>
        <w:jc w:val="both"/>
        <w:rPr>
          <w:sz w:val="28"/>
          <w:szCs w:val="28"/>
        </w:rPr>
      </w:pPr>
      <w:r>
        <w:rPr>
          <w:sz w:val="28"/>
          <w:szCs w:val="28"/>
        </w:rPr>
        <w:t>TikTok is a platform with over one billion active users and processes petabytes of user data daily. For processing historical batch data, it uses Apache Spark, and for real-time streaming it relies on Apache Flink.</w:t>
      </w:r>
      <w:r>
        <w:rPr>
          <w:sz w:val="28"/>
          <w:szCs w:val="28"/>
          <w:vertAlign w:val="superscript"/>
        </w:rPr>
        <w:footnoteReference w:id="11"/>
      </w:r>
      <w:r>
        <w:rPr>
          <w:sz w:val="28"/>
          <w:szCs w:val="28"/>
        </w:rPr>
        <w:t xml:space="preserve"> The recommendation model updates within seconds of each user interaction. It is precisely this mechanism, known as the #For You Page, that is responsible for the remarkable level of user engagement on the platform.</w:t>
      </w:r>
      <w:r>
        <w:rPr>
          <w:sz w:val="28"/>
          <w:szCs w:val="28"/>
          <w:vertAlign w:val="superscript"/>
        </w:rPr>
        <w:footnoteReference w:id="12"/>
      </w:r>
    </w:p>
    <w:p w14:paraId="13BAF043" w14:textId="77777777" w:rsidR="006C0756" w:rsidRDefault="00000000">
      <w:pPr>
        <w:spacing w:before="240" w:after="240" w:line="240" w:lineRule="auto"/>
        <w:jc w:val="both"/>
        <w:rPr>
          <w:sz w:val="28"/>
          <w:szCs w:val="28"/>
        </w:rPr>
      </w:pPr>
      <w:r>
        <w:rPr>
          <w:sz w:val="28"/>
          <w:szCs w:val="28"/>
        </w:rPr>
        <w:lastRenderedPageBreak/>
        <w:t xml:space="preserve">Ireflix could adopt a similar approach by capturing signals from the UserMovies and UserSeries tables and using them to continuously fine-tune content recommendations for each user. </w:t>
      </w:r>
    </w:p>
    <w:p w14:paraId="13BAF044" w14:textId="77777777" w:rsidR="006C0756" w:rsidRDefault="006C0756">
      <w:pPr>
        <w:spacing w:before="240" w:after="240" w:line="240" w:lineRule="auto"/>
        <w:jc w:val="both"/>
        <w:rPr>
          <w:sz w:val="28"/>
          <w:szCs w:val="28"/>
        </w:rPr>
      </w:pPr>
    </w:p>
    <w:p w14:paraId="13BAF045" w14:textId="77777777" w:rsidR="006C0756" w:rsidRDefault="00000000">
      <w:pPr>
        <w:pStyle w:val="Subtitle"/>
        <w:numPr>
          <w:ilvl w:val="0"/>
          <w:numId w:val="1"/>
        </w:numPr>
        <w:rPr>
          <w:b/>
          <w:bCs/>
          <w:color w:val="073763"/>
        </w:rPr>
      </w:pPr>
      <w:bookmarkStart w:id="5" w:name="_j8h92bojbhmu" w:colFirst="0" w:colLast="0"/>
      <w:bookmarkEnd w:id="5"/>
      <w:r>
        <w:rPr>
          <w:b/>
          <w:bCs/>
          <w:color w:val="073763"/>
        </w:rPr>
        <w:t>References</w:t>
      </w:r>
    </w:p>
    <w:p w14:paraId="13BAF046" w14:textId="77777777" w:rsidR="006C0756" w:rsidRDefault="00000000">
      <w:r>
        <w:t>IBM (2025) What are big data use cases? Available at:</w:t>
      </w:r>
      <w:hyperlink r:id="rId9">
        <w:r>
          <w:rPr>
            <w:color w:val="1155CC"/>
            <w:u w:val="single"/>
          </w:rPr>
          <w:t xml:space="preserve"> https://www.ibm.com/think/topics/big-data-use-cases</w:t>
        </w:r>
      </w:hyperlink>
      <w:r>
        <w:t xml:space="preserve"> (Accessed: 28 May 2026).</w:t>
      </w:r>
    </w:p>
    <w:p w14:paraId="13BAF047" w14:textId="77777777" w:rsidR="006C0756" w:rsidRDefault="00000000">
      <w:r>
        <w:t>Sharma, P. (2021) 'Big Data — 3 V's and 5 V's', Analytics Vidhya, Medium. Available at:</w:t>
      </w:r>
      <w:hyperlink r:id="rId10">
        <w:r>
          <w:rPr>
            <w:color w:val="1155CC"/>
            <w:u w:val="single"/>
          </w:rPr>
          <w:t xml:space="preserve"> https://medium.com/analytics-vidhya/big-data-3-vs-and-5-v-s-c1cae2a6d311</w:t>
        </w:r>
      </w:hyperlink>
      <w:r>
        <w:t xml:space="preserve"> (Accessed: 28 May 2026).</w:t>
      </w:r>
    </w:p>
    <w:p w14:paraId="13BAF048" w14:textId="77777777" w:rsidR="006C0756" w:rsidRDefault="00000000">
      <w:r>
        <w:t>Laney, D. (2001) 3D Data Management: Controlling Data Volume, Velocity, and Variety. META Group, File 949, 6 February. Available at:</w:t>
      </w:r>
      <w:hyperlink r:id="rId11">
        <w:r>
          <w:rPr>
            <w:color w:val="1155CC"/>
            <w:u w:val="single"/>
          </w:rPr>
          <w:t xml:space="preserve"> https://www.academia.edu/37216189/Application_Delivery_Strategies</w:t>
        </w:r>
      </w:hyperlink>
      <w:r>
        <w:t xml:space="preserve"> (Accessed: 23 May 2026).</w:t>
      </w:r>
    </w:p>
    <w:p w14:paraId="13BAF049" w14:textId="77777777" w:rsidR="006C0756" w:rsidRDefault="00000000">
      <w:r>
        <w:t>Data Protection Commission (2024) Data Protection Legislation. Available at:</w:t>
      </w:r>
      <w:hyperlink r:id="rId12">
        <w:r>
          <w:rPr>
            <w:color w:val="1155CC"/>
            <w:u w:val="single"/>
          </w:rPr>
          <w:t xml:space="preserve"> https://www.dataprotection.ie/en/who-we-are/data-protection-legislation</w:t>
        </w:r>
      </w:hyperlink>
      <w:r>
        <w:t xml:space="preserve"> (Accessed: 28 May 2026).</w:t>
      </w:r>
    </w:p>
    <w:p w14:paraId="13BAF04A" w14:textId="77777777" w:rsidR="006C0756" w:rsidRDefault="00000000">
      <w:r>
        <w:t>European Parliament (2024) Regulation (EU) 2024/1689 — Artificial Intelligence Act. Official Journal of the European Union. Available at:</w:t>
      </w:r>
      <w:hyperlink r:id="rId13">
        <w:r>
          <w:rPr>
            <w:color w:val="1155CC"/>
            <w:u w:val="single"/>
          </w:rPr>
          <w:t xml:space="preserve"> https://eur-lex.europa.eu/legal-content/EN/TXT/?uri=CELEX:32024R1689</w:t>
        </w:r>
      </w:hyperlink>
      <w:r>
        <w:t xml:space="preserve"> (Accessed: 25 May 2026).</w:t>
      </w:r>
    </w:p>
    <w:p w14:paraId="13BAF04B" w14:textId="77777777" w:rsidR="006C0756" w:rsidRDefault="00000000">
      <w:r>
        <w:t>Microsoft (2024) What is Azure? Microsoft Azure. Available at:</w:t>
      </w:r>
      <w:hyperlink r:id="rId14">
        <w:r>
          <w:rPr>
            <w:color w:val="1155CC"/>
            <w:u w:val="single"/>
          </w:rPr>
          <w:t xml:space="preserve"> https://azure.microsoft.com/en-us/resources/cloud-computing-dictionary/what-is-azure/</w:t>
        </w:r>
      </w:hyperlink>
      <w:r>
        <w:t xml:space="preserve"> (Accessed: 25 May 2026).</w:t>
      </w:r>
    </w:p>
    <w:p w14:paraId="13BAF04C" w14:textId="77777777" w:rsidR="006C0756" w:rsidRDefault="00000000">
      <w:r>
        <w:t>Moldovan, D. (2015) On Monitoring and Analyzing Elastic Cloud Systems. Doctoral dissertation. Vienna: Technische Universität Wien (TU Wien). Available at:</w:t>
      </w:r>
      <w:hyperlink r:id="rId15">
        <w:r>
          <w:rPr>
            <w:color w:val="1155CC"/>
            <w:u w:val="single"/>
          </w:rPr>
          <w:t xml:space="preserve"> https://www.researchgate.net/figure/ertical-Vs-Horizontal-scaling_fig3_293799134</w:t>
        </w:r>
      </w:hyperlink>
      <w:r>
        <w:t xml:space="preserve"> (Accessed: 25 May 2026).</w:t>
      </w:r>
    </w:p>
    <w:p w14:paraId="13BAF04D" w14:textId="77777777" w:rsidR="006C0756" w:rsidRDefault="00000000">
      <w:r>
        <w:t>Drug Discovery Trends (2023) Pfizer exec frames digital as a core business strategy. Available at:</w:t>
      </w:r>
      <w:hyperlink r:id="rId16">
        <w:r>
          <w:rPr>
            <w:color w:val="1155CC"/>
            <w:u w:val="single"/>
          </w:rPr>
          <w:t xml:space="preserve"> https://www.drugdiscoverytrends.com/pfizer-exec-frames-digital-as-a-core-business-strategy/</w:t>
        </w:r>
      </w:hyperlink>
      <w:r>
        <w:t xml:space="preserve"> (Accessed: 26 May 2026).</w:t>
      </w:r>
    </w:p>
    <w:p w14:paraId="13BAF04E" w14:textId="77777777" w:rsidR="006C0756" w:rsidRDefault="00000000">
      <w:r>
        <w:t>Uber Engineering (2022) Disaster recovery for multi-region Kafka at Uber. Available at:</w:t>
      </w:r>
      <w:hyperlink r:id="rId17">
        <w:r>
          <w:rPr>
            <w:color w:val="1155CC"/>
            <w:u w:val="single"/>
          </w:rPr>
          <w:t xml:space="preserve"> https://www.uber.com/us/en/blog/kafka/</w:t>
        </w:r>
      </w:hyperlink>
      <w:r>
        <w:t xml:space="preserve"> (Accessed: 27 May 2026).</w:t>
      </w:r>
    </w:p>
    <w:p w14:paraId="13BAF04F" w14:textId="77777777" w:rsidR="006C0756" w:rsidRDefault="00000000">
      <w:r>
        <w:t>Uber (2024) How surge pricing works. Available at:</w:t>
      </w:r>
      <w:hyperlink r:id="rId18">
        <w:r>
          <w:rPr>
            <w:color w:val="1155CC"/>
            <w:u w:val="single"/>
          </w:rPr>
          <w:t xml:space="preserve"> https://www.uber.com/us/en/drive/driver-app/how-surge-works/</w:t>
        </w:r>
      </w:hyperlink>
      <w:r>
        <w:t xml:space="preserve"> (Accessed: 27 May 2026).</w:t>
      </w:r>
    </w:p>
    <w:p w14:paraId="13BAF050" w14:textId="77777777" w:rsidR="006C0756" w:rsidRDefault="00000000">
      <w:r>
        <w:t>La Vivien Post (2025) TikTok system design — architecture illustrated. Available at:</w:t>
      </w:r>
      <w:hyperlink r:id="rId19">
        <w:r>
          <w:rPr>
            <w:color w:val="1155CC"/>
            <w:u w:val="single"/>
          </w:rPr>
          <w:t xml:space="preserve"> https://www.lavivienpost.com/how-tiktok-works-architecture-illustrated/</w:t>
        </w:r>
      </w:hyperlink>
      <w:r>
        <w:t xml:space="preserve"> (Accessed: 28 May 2026).</w:t>
      </w:r>
    </w:p>
    <w:p w14:paraId="13BAF051" w14:textId="77777777" w:rsidR="006C0756" w:rsidRDefault="00000000">
      <w:r>
        <w:t>TikTok (2023) How TikTok recommends videos for you. TikTok Newsroom. Available at:</w:t>
      </w:r>
      <w:hyperlink r:id="rId20">
        <w:r>
          <w:rPr>
            <w:color w:val="1155CC"/>
            <w:u w:val="single"/>
          </w:rPr>
          <w:t xml:space="preserve"> https://newsroom.tiktok.com/en-us/how-tiktok-recommends-videos-for-you</w:t>
        </w:r>
      </w:hyperlink>
      <w:r>
        <w:t xml:space="preserve"> (Accessed: 28 May 2026).</w:t>
      </w:r>
    </w:p>
    <w:p w14:paraId="13BAF052" w14:textId="77777777" w:rsidR="006C0756" w:rsidRDefault="006C0756">
      <w:pPr>
        <w:jc w:val="both"/>
        <w:rPr>
          <w:b/>
          <w:bCs/>
          <w:color w:val="073763"/>
          <w:sz w:val="28"/>
          <w:szCs w:val="28"/>
        </w:rPr>
      </w:pPr>
    </w:p>
    <w:sectPr w:rsidR="006C075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0FC6E" w14:textId="77777777" w:rsidR="00D725BA" w:rsidRDefault="00D725BA">
      <w:pPr>
        <w:spacing w:line="240" w:lineRule="auto"/>
      </w:pPr>
      <w:r>
        <w:separator/>
      </w:r>
    </w:p>
  </w:endnote>
  <w:endnote w:type="continuationSeparator" w:id="0">
    <w:p w14:paraId="0B334D4D" w14:textId="77777777" w:rsidR="00D725BA" w:rsidRDefault="00D725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2EC0EF-410C-4CED-A589-DC5DEBB1E880}"/>
    <w:embedBold r:id="rId2" w:fontKey="{DA3B71C9-8A8F-491E-89EB-8CD6225DA177}"/>
    <w:embedItalic r:id="rId3" w:fontKey="{90977663-D2A9-4240-8044-A5A99DC5335D}"/>
  </w:font>
  <w:font w:name="Cambria">
    <w:panose1 w:val="02040503050406030204"/>
    <w:charset w:val="00"/>
    <w:family w:val="roman"/>
    <w:pitch w:val="variable"/>
    <w:sig w:usb0="E00006FF" w:usb1="420024FF" w:usb2="02000000" w:usb3="00000000" w:csb0="0000019F" w:csb1="00000000"/>
    <w:embedRegular r:id="rId4" w:fontKey="{76840785-793A-46D7-BD64-427EB2A7D0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4C469" w14:textId="77777777" w:rsidR="00D725BA" w:rsidRDefault="00D725BA">
      <w:pPr>
        <w:spacing w:line="240" w:lineRule="auto"/>
      </w:pPr>
      <w:r>
        <w:separator/>
      </w:r>
    </w:p>
  </w:footnote>
  <w:footnote w:type="continuationSeparator" w:id="0">
    <w:p w14:paraId="12124576" w14:textId="77777777" w:rsidR="00D725BA" w:rsidRDefault="00D725BA">
      <w:pPr>
        <w:spacing w:line="240" w:lineRule="auto"/>
      </w:pPr>
      <w:r>
        <w:continuationSeparator/>
      </w:r>
    </w:p>
  </w:footnote>
  <w:footnote w:id="1">
    <w:p w14:paraId="13BAF059" w14:textId="77777777" w:rsidR="006C0756" w:rsidRDefault="00000000">
      <w:pPr>
        <w:spacing w:line="240" w:lineRule="auto"/>
        <w:rPr>
          <w:sz w:val="20"/>
          <w:szCs w:val="20"/>
        </w:rPr>
      </w:pPr>
      <w:r>
        <w:rPr>
          <w:vertAlign w:val="superscript"/>
        </w:rPr>
        <w:footnoteRef/>
      </w:r>
      <w:r>
        <w:rPr>
          <w:sz w:val="20"/>
          <w:szCs w:val="20"/>
        </w:rPr>
        <w:t xml:space="preserve"> IBM (2025) </w:t>
      </w:r>
      <w:r>
        <w:rPr>
          <w:i/>
          <w:iCs/>
          <w:sz w:val="20"/>
          <w:szCs w:val="20"/>
        </w:rPr>
        <w:t>What are big data use cases?</w:t>
      </w:r>
      <w:r>
        <w:rPr>
          <w:sz w:val="20"/>
          <w:szCs w:val="20"/>
        </w:rPr>
        <w:t xml:space="preserve"> Available at:</w:t>
      </w:r>
      <w:hyperlink r:id="rId1">
        <w:r>
          <w:rPr>
            <w:sz w:val="20"/>
            <w:szCs w:val="20"/>
          </w:rPr>
          <w:t xml:space="preserve"> </w:t>
        </w:r>
      </w:hyperlink>
      <w:hyperlink r:id="rId2">
        <w:r>
          <w:rPr>
            <w:color w:val="1155CC"/>
            <w:sz w:val="20"/>
            <w:szCs w:val="20"/>
            <w:u w:val="single"/>
          </w:rPr>
          <w:t>https://www.ibm.com/think/topics/big-data-use-cases</w:t>
        </w:r>
      </w:hyperlink>
      <w:r>
        <w:rPr>
          <w:sz w:val="20"/>
          <w:szCs w:val="20"/>
        </w:rPr>
        <w:t xml:space="preserve"> (Accessed: 23 May 2026). </w:t>
      </w:r>
    </w:p>
  </w:footnote>
  <w:footnote w:id="2">
    <w:p w14:paraId="13BAF05A" w14:textId="77777777" w:rsidR="006C0756" w:rsidRDefault="00000000">
      <w:pPr>
        <w:spacing w:line="240" w:lineRule="auto"/>
        <w:rPr>
          <w:sz w:val="20"/>
          <w:szCs w:val="20"/>
        </w:rPr>
      </w:pPr>
      <w:r>
        <w:rPr>
          <w:vertAlign w:val="superscript"/>
        </w:rPr>
        <w:footnoteRef/>
      </w:r>
      <w:r>
        <w:rPr>
          <w:sz w:val="20"/>
          <w:szCs w:val="20"/>
        </w:rPr>
        <w:t xml:space="preserve"> Sharma, P. (2021) </w:t>
      </w:r>
      <w:r>
        <w:rPr>
          <w:i/>
          <w:iCs/>
          <w:sz w:val="20"/>
          <w:szCs w:val="20"/>
        </w:rPr>
        <w:t>Big Data — 3 V's and 5 V's.</w:t>
      </w:r>
      <w:r>
        <w:rPr>
          <w:sz w:val="20"/>
          <w:szCs w:val="20"/>
        </w:rPr>
        <w:t xml:space="preserve"> Analytics Vidhya, Medium. Available at:</w:t>
      </w:r>
      <w:hyperlink r:id="rId3">
        <w:r>
          <w:rPr>
            <w:sz w:val="20"/>
            <w:szCs w:val="20"/>
          </w:rPr>
          <w:t xml:space="preserve"> </w:t>
        </w:r>
      </w:hyperlink>
      <w:hyperlink r:id="rId4">
        <w:r>
          <w:rPr>
            <w:color w:val="1155CC"/>
            <w:sz w:val="20"/>
            <w:szCs w:val="20"/>
            <w:u w:val="single"/>
          </w:rPr>
          <w:t>https://medium.com/analytics-vidhya/big-data-3-vs-and-5-v-s-c1cae2a6d311</w:t>
        </w:r>
      </w:hyperlink>
      <w:r>
        <w:rPr>
          <w:sz w:val="20"/>
          <w:szCs w:val="20"/>
        </w:rPr>
        <w:t xml:space="preserve"> (Accessed: 28 May 2026). </w:t>
      </w:r>
    </w:p>
  </w:footnote>
  <w:footnote w:id="3">
    <w:p w14:paraId="13BAF05B" w14:textId="77777777" w:rsidR="006C0756" w:rsidRDefault="00000000">
      <w:pPr>
        <w:spacing w:line="240" w:lineRule="auto"/>
        <w:rPr>
          <w:sz w:val="20"/>
          <w:szCs w:val="20"/>
        </w:rPr>
      </w:pPr>
      <w:r>
        <w:rPr>
          <w:vertAlign w:val="superscript"/>
        </w:rPr>
        <w:footnoteRef/>
      </w:r>
      <w:r>
        <w:rPr>
          <w:sz w:val="20"/>
          <w:szCs w:val="20"/>
        </w:rPr>
        <w:t xml:space="preserve"> Laney, D. (2001) </w:t>
      </w:r>
      <w:r>
        <w:rPr>
          <w:i/>
          <w:iCs/>
          <w:sz w:val="20"/>
          <w:szCs w:val="20"/>
        </w:rPr>
        <w:t>3D Data Management: Controlling Data Volume, Velocity, and Variety.</w:t>
      </w:r>
      <w:r>
        <w:rPr>
          <w:sz w:val="20"/>
          <w:szCs w:val="20"/>
        </w:rPr>
        <w:t xml:space="preserve"> META Group, File 949, 6 February. Available at:</w:t>
      </w:r>
      <w:hyperlink r:id="rId5">
        <w:r>
          <w:rPr>
            <w:sz w:val="20"/>
            <w:szCs w:val="20"/>
          </w:rPr>
          <w:t xml:space="preserve"> </w:t>
        </w:r>
      </w:hyperlink>
      <w:hyperlink r:id="rId6">
        <w:r>
          <w:rPr>
            <w:color w:val="1155CC"/>
            <w:sz w:val="20"/>
            <w:szCs w:val="20"/>
            <w:u w:val="single"/>
          </w:rPr>
          <w:t>https://www.academia.edu/37216189/Application_Delivery_Strategies</w:t>
        </w:r>
      </w:hyperlink>
      <w:r>
        <w:rPr>
          <w:sz w:val="20"/>
          <w:szCs w:val="20"/>
        </w:rPr>
        <w:t xml:space="preserve"> (Accessed: 23 May 2026). </w:t>
      </w:r>
    </w:p>
  </w:footnote>
  <w:footnote w:id="4">
    <w:p w14:paraId="13BAF05C" w14:textId="77777777" w:rsidR="006C0756" w:rsidRDefault="00000000">
      <w:pPr>
        <w:spacing w:line="240" w:lineRule="auto"/>
        <w:rPr>
          <w:sz w:val="20"/>
          <w:szCs w:val="20"/>
        </w:rPr>
      </w:pPr>
      <w:r>
        <w:rPr>
          <w:vertAlign w:val="superscript"/>
        </w:rPr>
        <w:footnoteRef/>
      </w:r>
      <w:r>
        <w:rPr>
          <w:sz w:val="20"/>
          <w:szCs w:val="20"/>
        </w:rPr>
        <w:t xml:space="preserve"> Data Protection Commission (2024) </w:t>
      </w:r>
      <w:r>
        <w:rPr>
          <w:i/>
          <w:iCs/>
          <w:sz w:val="20"/>
          <w:szCs w:val="20"/>
        </w:rPr>
        <w:t>Data Protection Legislation.</w:t>
      </w:r>
      <w:r>
        <w:rPr>
          <w:sz w:val="20"/>
          <w:szCs w:val="20"/>
        </w:rPr>
        <w:t xml:space="preserve"> Available at:</w:t>
      </w:r>
      <w:hyperlink r:id="rId7">
        <w:r>
          <w:rPr>
            <w:sz w:val="20"/>
            <w:szCs w:val="20"/>
          </w:rPr>
          <w:t xml:space="preserve"> </w:t>
        </w:r>
      </w:hyperlink>
      <w:hyperlink r:id="rId8">
        <w:r>
          <w:rPr>
            <w:color w:val="1155CC"/>
            <w:sz w:val="20"/>
            <w:szCs w:val="20"/>
            <w:u w:val="single"/>
          </w:rPr>
          <w:t>https://www.dataprotection.ie/en/who-we-are/data-protection-legislation</w:t>
        </w:r>
      </w:hyperlink>
      <w:r>
        <w:rPr>
          <w:sz w:val="20"/>
          <w:szCs w:val="20"/>
        </w:rPr>
        <w:t xml:space="preserve"> (Accessed: 23 and 28 May 2026). </w:t>
      </w:r>
    </w:p>
  </w:footnote>
  <w:footnote w:id="5">
    <w:p w14:paraId="13BAF05D" w14:textId="77777777" w:rsidR="006C0756" w:rsidRDefault="00000000">
      <w:pPr>
        <w:spacing w:line="240" w:lineRule="auto"/>
        <w:rPr>
          <w:sz w:val="20"/>
          <w:szCs w:val="20"/>
        </w:rPr>
      </w:pPr>
      <w:r>
        <w:rPr>
          <w:vertAlign w:val="superscript"/>
        </w:rPr>
        <w:footnoteRef/>
      </w:r>
      <w:r>
        <w:rPr>
          <w:sz w:val="20"/>
          <w:szCs w:val="20"/>
        </w:rPr>
        <w:t xml:space="preserve"> European Parliament (2024) </w:t>
      </w:r>
      <w:r>
        <w:rPr>
          <w:i/>
          <w:iCs/>
          <w:sz w:val="20"/>
          <w:szCs w:val="20"/>
        </w:rPr>
        <w:t>Regulation (EU) 2024/1689 — Artificial Intelligence Act.</w:t>
      </w:r>
      <w:r>
        <w:rPr>
          <w:sz w:val="20"/>
          <w:szCs w:val="20"/>
        </w:rPr>
        <w:t xml:space="preserve"> Official Journal of the European Union. Available at:</w:t>
      </w:r>
      <w:hyperlink r:id="rId9">
        <w:r>
          <w:rPr>
            <w:sz w:val="20"/>
            <w:szCs w:val="20"/>
          </w:rPr>
          <w:t xml:space="preserve"> </w:t>
        </w:r>
      </w:hyperlink>
      <w:hyperlink r:id="rId10">
        <w:r>
          <w:rPr>
            <w:color w:val="1155CC"/>
            <w:sz w:val="20"/>
            <w:szCs w:val="20"/>
            <w:u w:val="single"/>
          </w:rPr>
          <w:t>https://eur-lex.europa.eu/legal-content/EN/TXT/?uri=CELEX:32024R1689</w:t>
        </w:r>
      </w:hyperlink>
      <w:r>
        <w:rPr>
          <w:sz w:val="20"/>
          <w:szCs w:val="20"/>
        </w:rPr>
        <w:t xml:space="preserve"> (Accessed: 25 May 2026). </w:t>
      </w:r>
    </w:p>
  </w:footnote>
  <w:footnote w:id="6">
    <w:p w14:paraId="13BAF05E" w14:textId="77777777" w:rsidR="006C0756" w:rsidRDefault="00000000">
      <w:pPr>
        <w:spacing w:line="240" w:lineRule="auto"/>
        <w:rPr>
          <w:sz w:val="20"/>
          <w:szCs w:val="20"/>
        </w:rPr>
      </w:pPr>
      <w:r>
        <w:rPr>
          <w:vertAlign w:val="superscript"/>
        </w:rPr>
        <w:footnoteRef/>
      </w:r>
      <w:r>
        <w:rPr>
          <w:sz w:val="20"/>
          <w:szCs w:val="20"/>
        </w:rPr>
        <w:t xml:space="preserve"> Microsoft (2024) </w:t>
      </w:r>
      <w:r>
        <w:rPr>
          <w:i/>
          <w:iCs/>
          <w:sz w:val="20"/>
          <w:szCs w:val="20"/>
        </w:rPr>
        <w:t>What is Azure?</w:t>
      </w:r>
      <w:r>
        <w:rPr>
          <w:sz w:val="20"/>
          <w:szCs w:val="20"/>
        </w:rPr>
        <w:t xml:space="preserve"> Microsoft Azure. Available at:</w:t>
      </w:r>
      <w:hyperlink r:id="rId11">
        <w:r>
          <w:rPr>
            <w:sz w:val="20"/>
            <w:szCs w:val="20"/>
          </w:rPr>
          <w:t xml:space="preserve"> </w:t>
        </w:r>
      </w:hyperlink>
      <w:hyperlink r:id="rId12">
        <w:r>
          <w:rPr>
            <w:color w:val="1155CC"/>
            <w:sz w:val="20"/>
            <w:szCs w:val="20"/>
            <w:u w:val="single"/>
          </w:rPr>
          <w:t>https://azure.microsoft.com/en-us/resources/cloud-computing-dictionary/what-is-azure/</w:t>
        </w:r>
      </w:hyperlink>
      <w:r>
        <w:rPr>
          <w:sz w:val="20"/>
          <w:szCs w:val="20"/>
        </w:rPr>
        <w:t xml:space="preserve"> (Accessed: 25 May 2026). </w:t>
      </w:r>
    </w:p>
  </w:footnote>
  <w:footnote w:id="7">
    <w:p w14:paraId="13BAF05F" w14:textId="77777777" w:rsidR="006C0756" w:rsidRDefault="00000000">
      <w:pPr>
        <w:spacing w:line="240" w:lineRule="auto"/>
      </w:pPr>
      <w:r>
        <w:rPr>
          <w:vertAlign w:val="superscript"/>
        </w:rPr>
        <w:footnoteRef/>
      </w:r>
      <w:r>
        <w:rPr>
          <w:sz w:val="20"/>
          <w:szCs w:val="20"/>
        </w:rPr>
        <w:t xml:space="preserve"> Moldovan, D. (2015) </w:t>
      </w:r>
      <w:r>
        <w:rPr>
          <w:i/>
          <w:iCs/>
          <w:sz w:val="20"/>
          <w:szCs w:val="20"/>
        </w:rPr>
        <w:t>On Monitoring and Analyzing Elastic Cloud Systems.</w:t>
      </w:r>
      <w:r>
        <w:rPr>
          <w:sz w:val="20"/>
          <w:szCs w:val="20"/>
        </w:rPr>
        <w:t xml:space="preserve"> Doctoral dissertation. Vienna: Technische Universität Wien (TU Wien). Available at:</w:t>
      </w:r>
      <w:hyperlink r:id="rId13">
        <w:r>
          <w:rPr>
            <w:sz w:val="20"/>
            <w:szCs w:val="20"/>
          </w:rPr>
          <w:t xml:space="preserve"> </w:t>
        </w:r>
      </w:hyperlink>
      <w:hyperlink r:id="rId14">
        <w:r>
          <w:rPr>
            <w:color w:val="1155CC"/>
            <w:sz w:val="20"/>
            <w:szCs w:val="20"/>
            <w:u w:val="single"/>
          </w:rPr>
          <w:t>https://www.researchgate.net/figure/ertical-Vs-Horizontal-scaling_fig3_293799134</w:t>
        </w:r>
      </w:hyperlink>
      <w:r>
        <w:rPr>
          <w:sz w:val="20"/>
          <w:szCs w:val="20"/>
        </w:rPr>
        <w:t xml:space="preserve"> (Accessed: 25 May 2026). </w:t>
      </w:r>
    </w:p>
    <w:p w14:paraId="13BAF060" w14:textId="77777777" w:rsidR="006C0756" w:rsidRDefault="006C0756">
      <w:pPr>
        <w:spacing w:line="240" w:lineRule="auto"/>
        <w:rPr>
          <w:sz w:val="20"/>
          <w:szCs w:val="20"/>
        </w:rPr>
      </w:pPr>
    </w:p>
  </w:footnote>
  <w:footnote w:id="8">
    <w:p w14:paraId="13BAF061" w14:textId="77777777" w:rsidR="006C0756" w:rsidRDefault="00000000">
      <w:pPr>
        <w:spacing w:line="240" w:lineRule="auto"/>
        <w:rPr>
          <w:sz w:val="20"/>
          <w:szCs w:val="20"/>
        </w:rPr>
      </w:pPr>
      <w:r>
        <w:rPr>
          <w:vertAlign w:val="superscript"/>
        </w:rPr>
        <w:footnoteRef/>
      </w:r>
      <w:r>
        <w:rPr>
          <w:sz w:val="20"/>
          <w:szCs w:val="20"/>
        </w:rPr>
        <w:t xml:space="preserve"> Drug Discovery Trends (2023) </w:t>
      </w:r>
      <w:r>
        <w:rPr>
          <w:i/>
          <w:iCs/>
          <w:sz w:val="20"/>
          <w:szCs w:val="20"/>
        </w:rPr>
        <w:t>Pfizer exec frames digital as a core business strategy.</w:t>
      </w:r>
      <w:r>
        <w:rPr>
          <w:sz w:val="20"/>
          <w:szCs w:val="20"/>
        </w:rPr>
        <w:t xml:space="preserve"> Available at:</w:t>
      </w:r>
      <w:hyperlink r:id="rId15">
        <w:r>
          <w:rPr>
            <w:sz w:val="20"/>
            <w:szCs w:val="20"/>
          </w:rPr>
          <w:t xml:space="preserve"> </w:t>
        </w:r>
      </w:hyperlink>
      <w:hyperlink r:id="rId16">
        <w:r>
          <w:rPr>
            <w:color w:val="1155CC"/>
            <w:sz w:val="20"/>
            <w:szCs w:val="20"/>
            <w:u w:val="single"/>
          </w:rPr>
          <w:t>https://www.drugdiscoverytrends.com/pfizer-exec-frames-digital-as-a-core-business-strategy/</w:t>
        </w:r>
      </w:hyperlink>
      <w:r>
        <w:rPr>
          <w:sz w:val="20"/>
          <w:szCs w:val="20"/>
        </w:rPr>
        <w:t xml:space="preserve"> (Accessed: 26 May 2026). </w:t>
      </w:r>
    </w:p>
  </w:footnote>
  <w:footnote w:id="9">
    <w:p w14:paraId="13BAF062" w14:textId="77777777" w:rsidR="006C0756" w:rsidRDefault="00000000">
      <w:pPr>
        <w:spacing w:line="240" w:lineRule="auto"/>
        <w:rPr>
          <w:sz w:val="20"/>
          <w:szCs w:val="20"/>
        </w:rPr>
      </w:pPr>
      <w:r>
        <w:rPr>
          <w:vertAlign w:val="superscript"/>
        </w:rPr>
        <w:footnoteRef/>
      </w:r>
      <w:r>
        <w:rPr>
          <w:sz w:val="20"/>
          <w:szCs w:val="20"/>
        </w:rPr>
        <w:t xml:space="preserve"> Uber Engineering (2022) </w:t>
      </w:r>
      <w:r>
        <w:rPr>
          <w:i/>
          <w:iCs/>
          <w:sz w:val="20"/>
          <w:szCs w:val="20"/>
        </w:rPr>
        <w:t>Disaster recovery for multi-region Kafka at Uber.</w:t>
      </w:r>
      <w:r>
        <w:rPr>
          <w:sz w:val="20"/>
          <w:szCs w:val="20"/>
        </w:rPr>
        <w:t xml:space="preserve"> Available at:</w:t>
      </w:r>
      <w:hyperlink r:id="rId17">
        <w:r>
          <w:rPr>
            <w:sz w:val="20"/>
            <w:szCs w:val="20"/>
          </w:rPr>
          <w:t xml:space="preserve"> </w:t>
        </w:r>
      </w:hyperlink>
      <w:hyperlink r:id="rId18">
        <w:r>
          <w:rPr>
            <w:color w:val="1155CC"/>
            <w:sz w:val="20"/>
            <w:szCs w:val="20"/>
            <w:u w:val="single"/>
          </w:rPr>
          <w:t>https://www.uber.com/us/en/blog/kafka/</w:t>
        </w:r>
      </w:hyperlink>
      <w:r>
        <w:rPr>
          <w:sz w:val="20"/>
          <w:szCs w:val="20"/>
        </w:rPr>
        <w:t xml:space="preserve"> (Accessed: 27 May 2026). </w:t>
      </w:r>
    </w:p>
  </w:footnote>
  <w:footnote w:id="10">
    <w:p w14:paraId="13BAF063" w14:textId="77777777" w:rsidR="006C0756" w:rsidRDefault="00000000">
      <w:pPr>
        <w:spacing w:line="240" w:lineRule="auto"/>
        <w:rPr>
          <w:sz w:val="20"/>
          <w:szCs w:val="20"/>
        </w:rPr>
      </w:pPr>
      <w:r>
        <w:rPr>
          <w:vertAlign w:val="superscript"/>
        </w:rPr>
        <w:footnoteRef/>
      </w:r>
      <w:r>
        <w:rPr>
          <w:sz w:val="20"/>
          <w:szCs w:val="20"/>
        </w:rPr>
        <w:t xml:space="preserve"> Uber (2024) </w:t>
      </w:r>
      <w:r>
        <w:rPr>
          <w:i/>
          <w:iCs/>
          <w:sz w:val="20"/>
          <w:szCs w:val="20"/>
        </w:rPr>
        <w:t>How surge pricing works.</w:t>
      </w:r>
      <w:r>
        <w:rPr>
          <w:sz w:val="20"/>
          <w:szCs w:val="20"/>
        </w:rPr>
        <w:t xml:space="preserve"> Available at:</w:t>
      </w:r>
      <w:hyperlink r:id="rId19">
        <w:r>
          <w:rPr>
            <w:sz w:val="20"/>
            <w:szCs w:val="20"/>
          </w:rPr>
          <w:t xml:space="preserve"> </w:t>
        </w:r>
      </w:hyperlink>
      <w:hyperlink r:id="rId20">
        <w:r>
          <w:rPr>
            <w:color w:val="1155CC"/>
            <w:sz w:val="20"/>
            <w:szCs w:val="20"/>
            <w:u w:val="single"/>
          </w:rPr>
          <w:t>https://www.uber.com/us/en/drive/driver-app/how-surge-works/</w:t>
        </w:r>
      </w:hyperlink>
      <w:r>
        <w:rPr>
          <w:sz w:val="20"/>
          <w:szCs w:val="20"/>
        </w:rPr>
        <w:t xml:space="preserve"> (Accessed: 27 May 2026). </w:t>
      </w:r>
    </w:p>
  </w:footnote>
  <w:footnote w:id="11">
    <w:p w14:paraId="13BAF064" w14:textId="77777777" w:rsidR="006C0756" w:rsidRDefault="00000000">
      <w:pPr>
        <w:spacing w:line="240" w:lineRule="auto"/>
        <w:rPr>
          <w:sz w:val="20"/>
          <w:szCs w:val="20"/>
        </w:rPr>
      </w:pPr>
      <w:r>
        <w:rPr>
          <w:vertAlign w:val="superscript"/>
        </w:rPr>
        <w:footnoteRef/>
      </w:r>
      <w:r>
        <w:rPr>
          <w:sz w:val="20"/>
          <w:szCs w:val="20"/>
        </w:rPr>
        <w:t xml:space="preserve"> La Vivien Post (2025) </w:t>
      </w:r>
      <w:r>
        <w:rPr>
          <w:i/>
          <w:iCs/>
          <w:sz w:val="20"/>
          <w:szCs w:val="20"/>
        </w:rPr>
        <w:t>TikTok system design — architecture illustrated.</w:t>
      </w:r>
      <w:r>
        <w:rPr>
          <w:sz w:val="20"/>
          <w:szCs w:val="20"/>
        </w:rPr>
        <w:t xml:space="preserve"> Available at:</w:t>
      </w:r>
      <w:hyperlink r:id="rId21">
        <w:r>
          <w:rPr>
            <w:sz w:val="20"/>
            <w:szCs w:val="20"/>
          </w:rPr>
          <w:t xml:space="preserve"> </w:t>
        </w:r>
      </w:hyperlink>
      <w:hyperlink r:id="rId22">
        <w:r>
          <w:rPr>
            <w:color w:val="1155CC"/>
            <w:sz w:val="20"/>
            <w:szCs w:val="20"/>
            <w:u w:val="single"/>
          </w:rPr>
          <w:t>https://www.lavivienpost.com/how-tiktok-works-architecture-illustrated/</w:t>
        </w:r>
      </w:hyperlink>
      <w:r>
        <w:rPr>
          <w:sz w:val="20"/>
          <w:szCs w:val="20"/>
        </w:rPr>
        <w:t xml:space="preserve"> (Accessed: 28 May 2026). </w:t>
      </w:r>
    </w:p>
  </w:footnote>
  <w:footnote w:id="12">
    <w:p w14:paraId="13BAF065" w14:textId="77777777" w:rsidR="006C0756" w:rsidRDefault="00000000">
      <w:pPr>
        <w:spacing w:line="240" w:lineRule="auto"/>
        <w:rPr>
          <w:sz w:val="20"/>
          <w:szCs w:val="20"/>
        </w:rPr>
      </w:pPr>
      <w:r>
        <w:rPr>
          <w:vertAlign w:val="superscript"/>
        </w:rPr>
        <w:footnoteRef/>
      </w:r>
      <w:r>
        <w:rPr>
          <w:sz w:val="20"/>
          <w:szCs w:val="20"/>
        </w:rPr>
        <w:t xml:space="preserve"> TikTok (2023) </w:t>
      </w:r>
      <w:r>
        <w:rPr>
          <w:i/>
          <w:iCs/>
          <w:sz w:val="20"/>
          <w:szCs w:val="20"/>
        </w:rPr>
        <w:t>How TikTok recommends videos for you.</w:t>
      </w:r>
      <w:r>
        <w:rPr>
          <w:sz w:val="20"/>
          <w:szCs w:val="20"/>
        </w:rPr>
        <w:t xml:space="preserve"> TikTok Newsroom. Available at:</w:t>
      </w:r>
      <w:hyperlink r:id="rId23">
        <w:r>
          <w:rPr>
            <w:sz w:val="20"/>
            <w:szCs w:val="20"/>
          </w:rPr>
          <w:t xml:space="preserve"> </w:t>
        </w:r>
      </w:hyperlink>
      <w:hyperlink r:id="rId24">
        <w:r>
          <w:rPr>
            <w:color w:val="1155CC"/>
            <w:sz w:val="20"/>
            <w:szCs w:val="20"/>
            <w:u w:val="single"/>
          </w:rPr>
          <w:t>https://newsroom.tiktok.com/en-us/how-tiktok-recommends-videos-for-you</w:t>
        </w:r>
      </w:hyperlink>
      <w:r>
        <w:rPr>
          <w:sz w:val="20"/>
          <w:szCs w:val="20"/>
        </w:rPr>
        <w:t xml:space="preserve"> (Accessed: 28 May 2026).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E79"/>
    <w:multiLevelType w:val="multilevel"/>
    <w:tmpl w:val="60A2C2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3336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756"/>
    <w:rsid w:val="0034704C"/>
    <w:rsid w:val="005C0FF9"/>
    <w:rsid w:val="006C0756"/>
    <w:rsid w:val="00D725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AEFDB"/>
  <w15:docId w15:val="{8E27EC14-C4D3-4A9D-94A8-9C96E1D90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ur-lex.europa.eu/legal-content/EN/TXT/?uri=CELEX:32024R1689" TargetMode="External"/><Relationship Id="rId18" Type="http://schemas.openxmlformats.org/officeDocument/2006/relationships/hyperlink" Target="https://www.uber.com/us/en/drive/driver-app/how-surge-work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dataprotection.ie/en/who-we-are/data-protection-legislation" TargetMode="External"/><Relationship Id="rId17" Type="http://schemas.openxmlformats.org/officeDocument/2006/relationships/hyperlink" Target="https://www.uber.com/us/en/blog/kafka/" TargetMode="External"/><Relationship Id="rId2" Type="http://schemas.openxmlformats.org/officeDocument/2006/relationships/styles" Target="styles.xml"/><Relationship Id="rId16" Type="http://schemas.openxmlformats.org/officeDocument/2006/relationships/hyperlink" Target="https://www.drugdiscoverytrends.com/pfizer-exec-frames-digital-as-a-core-business-strategy/" TargetMode="External"/><Relationship Id="rId20" Type="http://schemas.openxmlformats.org/officeDocument/2006/relationships/hyperlink" Target="https://newsroom.tiktok.com/en-us/how-tiktok-recommends-videos-for-yo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ademia.edu/37216189/Application_Delivery_Strategies" TargetMode="External"/><Relationship Id="rId5" Type="http://schemas.openxmlformats.org/officeDocument/2006/relationships/footnotes" Target="footnotes.xml"/><Relationship Id="rId15" Type="http://schemas.openxmlformats.org/officeDocument/2006/relationships/hyperlink" Target="https://www.researchgate.net/figure/ertical-Vs-Horizontal-scaling_fig3_293799134" TargetMode="External"/><Relationship Id="rId10" Type="http://schemas.openxmlformats.org/officeDocument/2006/relationships/hyperlink" Target="https://medium.com/analytics-vidhya/big-data-3-vs-and-5-v-s-c1cae2a6d311" TargetMode="External"/><Relationship Id="rId19" Type="http://schemas.openxmlformats.org/officeDocument/2006/relationships/hyperlink" Target="https://www.lavivienpost.com/how-tiktok-works-architecture-illustrated/" TargetMode="External"/><Relationship Id="rId4" Type="http://schemas.openxmlformats.org/officeDocument/2006/relationships/webSettings" Target="webSettings.xml"/><Relationship Id="rId9" Type="http://schemas.openxmlformats.org/officeDocument/2006/relationships/hyperlink" Target="https://www.ibm.com/think/topics/big-data-use-cases" TargetMode="External"/><Relationship Id="rId14" Type="http://schemas.openxmlformats.org/officeDocument/2006/relationships/hyperlink" Target="https://azure.microsoft.com/en-us/resources/cloud-computing-dictionary/what-is-azure/"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8" Type="http://schemas.openxmlformats.org/officeDocument/2006/relationships/hyperlink" Target="https://www.dataprotection.ie/en/who-we-are/data-protection-legislation" TargetMode="External"/><Relationship Id="rId13" Type="http://schemas.openxmlformats.org/officeDocument/2006/relationships/hyperlink" Target="https://www.researchgate.net/figure/ertical-Vs-Horizontal-scaling_fig3_293799134" TargetMode="External"/><Relationship Id="rId18" Type="http://schemas.openxmlformats.org/officeDocument/2006/relationships/hyperlink" Target="https://www.uber.com/us/en/blog/kafka/" TargetMode="External"/><Relationship Id="rId3" Type="http://schemas.openxmlformats.org/officeDocument/2006/relationships/hyperlink" Target="https://medium.com/analytics-vidhya/big-data-3-vs-and-5-v-s-c1cae2a6d311" TargetMode="External"/><Relationship Id="rId21" Type="http://schemas.openxmlformats.org/officeDocument/2006/relationships/hyperlink" Target="https://www.lavivienpost.com/how-tiktok-works-architecture-illustrated/" TargetMode="External"/><Relationship Id="rId7" Type="http://schemas.openxmlformats.org/officeDocument/2006/relationships/hyperlink" Target="https://www.dataprotection.ie/en/who-we-are/data-protection-legislation" TargetMode="External"/><Relationship Id="rId12" Type="http://schemas.openxmlformats.org/officeDocument/2006/relationships/hyperlink" Target="https://azure.microsoft.com/en-us/resources/cloud-computing-dictionary/what-is-azure/" TargetMode="External"/><Relationship Id="rId17" Type="http://schemas.openxmlformats.org/officeDocument/2006/relationships/hyperlink" Target="https://www.uber.com/us/en/blog/kafka/" TargetMode="External"/><Relationship Id="rId2" Type="http://schemas.openxmlformats.org/officeDocument/2006/relationships/hyperlink" Target="https://www.ibm.com/think/topics/big-data-use-cases" TargetMode="External"/><Relationship Id="rId16" Type="http://schemas.openxmlformats.org/officeDocument/2006/relationships/hyperlink" Target="https://www.drugdiscoverytrends.com/pfizer-exec-frames-digital-as-a-core-business-strategy/" TargetMode="External"/><Relationship Id="rId20" Type="http://schemas.openxmlformats.org/officeDocument/2006/relationships/hyperlink" Target="https://www.uber.com/us/en/drive/driver-app/how-surge-works/" TargetMode="External"/><Relationship Id="rId1" Type="http://schemas.openxmlformats.org/officeDocument/2006/relationships/hyperlink" Target="https://www.ibm.com/think/topics/big-data-use-cases" TargetMode="External"/><Relationship Id="rId6" Type="http://schemas.openxmlformats.org/officeDocument/2006/relationships/hyperlink" Target="https://www.academia.edu/37216189/Application_Delivery_Strategies" TargetMode="External"/><Relationship Id="rId11" Type="http://schemas.openxmlformats.org/officeDocument/2006/relationships/hyperlink" Target="https://azure.microsoft.com/en-us/resources/cloud-computing-dictionary/what-is-azure/" TargetMode="External"/><Relationship Id="rId24" Type="http://schemas.openxmlformats.org/officeDocument/2006/relationships/hyperlink" Target="https://newsroom.tiktok.com/en-us/how-tiktok-recommends-videos-for-you" TargetMode="External"/><Relationship Id="rId5" Type="http://schemas.openxmlformats.org/officeDocument/2006/relationships/hyperlink" Target="https://www.academia.edu/37216189/Application_Delivery_Strategies" TargetMode="External"/><Relationship Id="rId15" Type="http://schemas.openxmlformats.org/officeDocument/2006/relationships/hyperlink" Target="https://www.drugdiscoverytrends.com/pfizer-exec-frames-digital-as-a-core-business-strategy/" TargetMode="External"/><Relationship Id="rId23" Type="http://schemas.openxmlformats.org/officeDocument/2006/relationships/hyperlink" Target="https://newsroom.tiktok.com/en-us/how-tiktok-recommends-videos-for-you" TargetMode="External"/><Relationship Id="rId10" Type="http://schemas.openxmlformats.org/officeDocument/2006/relationships/hyperlink" Target="https://eur-lex.europa.eu/legal-content/EN/TXT/?uri=CELEX:32024R1689" TargetMode="External"/><Relationship Id="rId19" Type="http://schemas.openxmlformats.org/officeDocument/2006/relationships/hyperlink" Target="https://www.uber.com/us/en/drive/driver-app/how-surge-works/" TargetMode="External"/><Relationship Id="rId4" Type="http://schemas.openxmlformats.org/officeDocument/2006/relationships/hyperlink" Target="https://medium.com/analytics-vidhya/big-data-3-vs-and-5-v-s-c1cae2a6d311" TargetMode="External"/><Relationship Id="rId9" Type="http://schemas.openxmlformats.org/officeDocument/2006/relationships/hyperlink" Target="https://eur-lex.europa.eu/legal-content/EN/TXT/?uri=CELEX:32024R1689" TargetMode="External"/><Relationship Id="rId14" Type="http://schemas.openxmlformats.org/officeDocument/2006/relationships/hyperlink" Target="https://www.researchgate.net/figure/ertical-Vs-Horizontal-scaling_fig3_293799134" TargetMode="External"/><Relationship Id="rId22" Type="http://schemas.openxmlformats.org/officeDocument/2006/relationships/hyperlink" Target="https://www.lavivienpost.com/how-tiktok-works-architecture-illustra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1737</Words>
  <Characters>9904</Characters>
  <Application>Microsoft Office Word</Application>
  <DocSecurity>0</DocSecurity>
  <Lines>82</Lines>
  <Paragraphs>23</Paragraphs>
  <ScaleCrop>false</ScaleCrop>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Arkadiusz Jedrzejewski</cp:lastModifiedBy>
  <cp:revision>2</cp:revision>
  <dcterms:created xsi:type="dcterms:W3CDTF">2026-05-29T19:49:00Z</dcterms:created>
  <dcterms:modified xsi:type="dcterms:W3CDTF">2026-05-29T19:49:00Z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87c2c6ad-348f-40f6-9c5c-b491b0eb6495</vt:lpwstr>
  </property>
</Properties>
</file>