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Tarea 06 - Modelo de cajas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partir del código HTML y CSS proporcionados, determinar las reglas CSS necesarias para añadir los siguientes márgenes y rellenos: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elementos #noticias y #pie tiene un color de fondo gris claro (#F8F8F8).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elemento #publicidad muestra un color de fondo amarillo claro (#FFF6CD).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elementos &lt;h2&gt; del lateral #secundario muestran un color de fondo #DB905C y un pequeño padding de .2em.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fondo del elemento #menu se construye mediante una pequeña imagen llamada fondo_menu.gif.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logotipo del sitio se muestra mediante una imagen de fondo del elemento &lt;h1&gt; contenido en el elemento #cabecera (la imagen se llama logo.gif).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43976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39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Diseño de interfaces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