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MKU201Team26ab4da31a238dc999eb5cc00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 xml:space="preserve">Flow Creation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Create the "Standard Laptop Task" flow in Flow Designer (Global application, Run As System User)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Configure Service Catalog as the flow trigger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 xml:space="preserve">Catalog Task Automation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 xml:space="preserve">Add the Create Catalog Task action mapped to the Requested Item record</w:t>
            </w:r>
          </w:p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 xml:space="preserve">Set Short Description and Description as "Laptop need to be Configured"</w:t>
            </w:r>
          </w:p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 xml:space="preserve">Assign the task automatically to the Hardware group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rtl w:val="0"/>
              </w:rPr>
              <w:t xml:space="preserve">Flow Assignment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 xml:space="preserve">Open the Standard Laptop item in Maintain Items</w:t>
            </w:r>
          </w:p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 xml:space="preserve">Remove existing Process Engine automation</w:t>
            </w:r>
          </w:p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 xml:space="preserve">Select Flow and attach the "Standard Laptop Task" flow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Service Catalog Ordering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Order Standard Laptop from Service Catalog &gt; Hardware using Order Now</w:t>
            </w:r>
          </w:p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Generate the Request Number and display the Order Status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  <w:t xml:space="preserve">Request Approval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 xml:space="preserve">Open the Approvers section of the request record</w:t>
            </w:r>
          </w:p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 xml:space="preserve">Approve the request using the Approve option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>
              <w:rPr>
                <w:rtl w:val="0"/>
              </w:rPr>
              <w:t xml:space="preserve">Task Verification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  <w:t xml:space="preserve">Open the Requested Item record and its Catalog Tasks section</w:t>
            </w:r>
          </w:p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  <w:t xml:space="preserve">Verify the task shows the correct Short Description and Assignment Group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b w:val="1"/>
                <w:rtl w:val="0"/>
              </w:rPr>
              <w:t xml:space="preserve">Usability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  <w:t xml:space="preserve">Simple catalog ordering through Order Now, with a clear Order Status and Request Number; no manual effort needed to raise the configuration task.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b w:val="1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 xml:space="preserve">Flow runs as System User; the configuration task is restricted to the Hardware group and requests require approval by authorised approvers.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b w:val="1"/>
                <w:rtl w:val="0"/>
              </w:rPr>
              <w:t xml:space="preserve">Reliability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 xml:space="preserve">Every approved Standard Laptop request consistently generates a Catalog Task, so configuration is never overlooked or delayed.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>
              <w:rPr>
                <w:b w:val="1"/>
                <w:rtl w:val="0"/>
              </w:rPr>
              <w:t xml:space="preserve">Performance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  <w:t xml:space="preserve">Catalog Tasks are created automatically as soon as the request is approved, reducing user wait time and manual intervention.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>
              <w:rPr>
                <w:b w:val="1"/>
                <w:rtl w:val="0"/>
              </w:rPr>
              <w:t xml:space="preserve">Availability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  <w:t xml:space="preserve">The flow runs on the ServiceNow cloud platform and stays active once activated, so laptop requests can be raised and processed at any time.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>
              <w:rPr>
                <w:b w:val="1"/>
                <w:color w:val="222222"/>
                <w:rtl w:val="0"/>
              </w:rPr>
              <w:t xml:space="preserve">Scalability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  <w:t xml:space="preserve">The flow handles growing volumes of laptop requests and can be reused or extended to other catalog items and assignment groups.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