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Marketplace case: B2B supplier matching.</w:t>
      </w:r>
    </w:p>
    <w:p>
      <w:r>
        <w:t>Unsupported claim: procurement cycles cut by 60 percent with no buyer evidence.</w:t>
      </w:r>
    </w:p>
    <w:p>
      <w:r>
        <w:t>Gap: take rate missing. Contradiction: supply count differs from CSV.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