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511E99" w14:textId="77777777" w:rsidR="00933170" w:rsidRDefault="00000000" w:rsidP="61044F4B">
      <w:pPr>
        <w:spacing w:after="120"/>
        <w:jc w:val="center"/>
        <w:rPr>
          <w:rFonts w:ascii="Aptos" w:eastAsia="Aptos" w:hAnsi="Aptos" w:cs="Aptos"/>
          <w:b/>
          <w:bCs/>
          <w:sz w:val="40"/>
          <w:szCs w:val="40"/>
        </w:rPr>
      </w:pPr>
      <w:r>
        <w:rPr>
          <w:rFonts w:ascii="Aptos" w:eastAsia="Aptos" w:hAnsi="Aptos" w:cs="Aptos"/>
          <w:b/>
          <w:bCs/>
          <w:sz w:val="36"/>
          <w:szCs w:val="36"/>
        </w:rPr>
        <w:t>Metacognitive Scaffolding: Supporting Cross-Session Search for People with Working Memory Constraints</w:t>
      </w:r>
    </w:p>
    <w:p w14:paraId="1CDD49A2" w14:textId="77777777" w:rsidR="00933170" w:rsidRDefault="00000000" w:rsidP="61044F4B">
      <w:pPr>
        <w:spacing w:after="120"/>
        <w:jc w:val="center"/>
        <w:rPr>
          <w:rFonts w:ascii="Aptos" w:eastAsia="Aptos" w:hAnsi="Aptos" w:cs="Aptos"/>
          <w:sz w:val="28"/>
          <w:szCs w:val="28"/>
        </w:rPr>
      </w:pPr>
      <w:r>
        <w:rPr>
          <w:rFonts w:ascii="Aptos" w:eastAsia="Aptos" w:hAnsi="Aptos" w:cs="Aptos"/>
          <w:sz w:val="24"/>
          <w:szCs w:val="24"/>
        </w:rPr>
        <w:t>Student Name: MD Telot, MSc in Computer Science</w:t>
      </w:r>
    </w:p>
    <w:p w14:paraId="4119E758" w14:textId="77777777" w:rsidR="00933170" w:rsidRDefault="00000000" w:rsidP="61044F4B">
      <w:pPr>
        <w:spacing w:after="120"/>
        <w:jc w:val="center"/>
        <w:rPr>
          <w:rFonts w:ascii="Aptos" w:eastAsia="Aptos" w:hAnsi="Aptos" w:cs="Aptos"/>
          <w:sz w:val="28"/>
          <w:szCs w:val="28"/>
        </w:rPr>
      </w:pPr>
      <w:r>
        <w:rPr>
          <w:rFonts w:ascii="Aptos" w:eastAsia="Aptos" w:hAnsi="Aptos" w:cs="Aptos"/>
          <w:sz w:val="24"/>
          <w:szCs w:val="24"/>
        </w:rPr>
        <w:t>Start Date/Semester: Winter 2026</w:t>
      </w:r>
    </w:p>
    <w:p w14:paraId="68D8FB1D" w14:textId="77777777" w:rsidR="00933170" w:rsidRDefault="00000000" w:rsidP="61044F4B">
      <w:pPr>
        <w:spacing w:after="120"/>
        <w:jc w:val="center"/>
        <w:rPr>
          <w:rFonts w:ascii="Aptos" w:eastAsia="Aptos" w:hAnsi="Aptos" w:cs="Aptos"/>
          <w:sz w:val="28"/>
          <w:szCs w:val="28"/>
        </w:rPr>
      </w:pPr>
      <w:r>
        <w:rPr>
          <w:rFonts w:ascii="Aptos" w:eastAsia="Aptos" w:hAnsi="Aptos" w:cs="Aptos"/>
          <w:sz w:val="24"/>
          <w:szCs w:val="24"/>
        </w:rPr>
        <w:t>Project Revised: (Aug 31, 2026)</w:t>
      </w:r>
    </w:p>
    <w:p w14:paraId="381A10C1" w14:textId="77777777" w:rsidR="00933170" w:rsidRDefault="00000000" w:rsidP="61044F4B">
      <w:pPr>
        <w:spacing w:after="320"/>
        <w:jc w:val="center"/>
        <w:rPr>
          <w:rFonts w:ascii="Aptos" w:eastAsia="Aptos" w:hAnsi="Aptos" w:cs="Aptos"/>
          <w:sz w:val="22"/>
          <w:szCs w:val="22"/>
        </w:rPr>
      </w:pPr>
      <w:r>
        <w:rPr>
          <w:rFonts w:ascii="Aptos" w:eastAsia="Aptos" w:hAnsi="Aptos" w:cs="Aptos"/>
          <w:sz w:val="24"/>
          <w:szCs w:val="24"/>
        </w:rPr>
        <w:t xml:space="preserve">Figma: </w:t>
      </w:r>
      <w:hyperlink r:id="rId5">
        <w:r>
          <w:rPr>
            <w:rStyle w:val="Hyperlink"/>
            <w:rFonts w:ascii="Aptos" w:eastAsia="Aptos" w:hAnsi="Aptos" w:cs="Aptos"/>
            <w:sz w:val="24"/>
            <w:szCs w:val="24"/>
          </w:rPr>
          <w:t>Thesis Sketch (Figma)</w:t>
        </w:r>
      </w:hyperlink>
    </w:p>
    <w:p w14:paraId="7CBFD60A" w14:textId="77777777" w:rsidR="00933170" w:rsidRDefault="00000000" w:rsidP="61044F4B">
      <w:pPr>
        <w:pStyle w:val="Heading1"/>
        <w:spacing w:before="360" w:after="200"/>
        <w:rPr>
          <w:rFonts w:ascii="Aptos Display" w:eastAsia="Aptos Display" w:hAnsi="Aptos Display" w:cs="Aptos Display"/>
          <w:b/>
          <w:bCs/>
        </w:rPr>
      </w:pPr>
      <w:r>
        <w:rPr>
          <w:rFonts w:ascii="Aptos Display" w:eastAsia="Aptos Display" w:hAnsi="Aptos Display" w:cs="Aptos Display"/>
          <w:b/>
          <w:bCs/>
        </w:rPr>
        <w:t>Abstract</w:t>
      </w:r>
    </w:p>
    <w:p w14:paraId="1248E942"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Exploratory search involves more than retrieving information; it requires users to iteratively formulate queries, evaluate evidence, develop understanding, and adjust search strategies as their knowledge evolves. Because these activities often span multiple search sessions, users must reconstruct previous goals, reasoning, and progress after interruptions before they can continue their search. These demands place considerable pressure on working memory, making long-term exploratory search difficult to sustain. This burden is particularly acute for individuals with reduced working memory capacity, including some users with dyslexia- or ADHD-related cognitive differences, for whom holding a search goal, prior findings, and open questions in mind at the same time can exceed available cognitive resources (Choi and Arguello 2025).</w:t>
      </w:r>
    </w:p>
    <w:p w14:paraId="6E415EF5"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Recent advances in Large Language Models (LLMs) provide new opportunities to support cross-session exploratory search (An 2025; Yang et al. 2025). However, existing AI-assisted search systems primarily emphasize answer generation and automated summarization (Luo et al. 2025; Yang et al. 2025), which may reduce opportunities for users to actively engage in reflection, sensemaking, and knowledge construction (Crescenzi et al. 2021; Zhu et al. 2026).</w:t>
      </w:r>
    </w:p>
    <w:p w14:paraId="0FD4014C"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This thesis proposes an LLM-assisted exploratory search framework that provides adaptive support for metacognition within cross-session exploratory search, while minimizing the demands on a searcher's working memory. Rather than replacing the user's reasoning process, the proposed system externalizes evolving search context, preserves contextual continuity across sessions, and provides interactive scaffolding that supports planning, monitoring, and reflection while maintaining user agency. The expected outcome is a set of design principles and an interactive prototype demonstrating how generative AI can augment human cognition during long-term exploratory search without replacing the user's own sensemaking process.</w:t>
      </w:r>
    </w:p>
    <w:p w14:paraId="20C91B46"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lastRenderedPageBreak/>
        <w:t>CCS Concepts: Human-centered computing → Interactive systems and tools; Information systems → Search interfaces; Human-centered computing → Accessibility; Computing methodologies → Natural language processing</w:t>
      </w:r>
    </w:p>
    <w:p w14:paraId="4A7FAE52"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Keywords: exploratory search, metacognition, working memory, large language models, cognitive scaffolding, cross-session search, neurodivergent users</w:t>
      </w:r>
    </w:p>
    <w:p w14:paraId="3296BE75"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Received: 28 April 2026</w:t>
      </w:r>
    </w:p>
    <w:p w14:paraId="0EA4F4FE" w14:textId="77777777" w:rsidR="00933170" w:rsidRDefault="00000000" w:rsidP="61044F4B">
      <w:pPr>
        <w:pStyle w:val="Heading1"/>
        <w:spacing w:before="360" w:after="200"/>
        <w:rPr>
          <w:rFonts w:ascii="Aptos Display" w:eastAsia="Aptos Display" w:hAnsi="Aptos Display" w:cs="Aptos Display"/>
          <w:b/>
          <w:bCs/>
        </w:rPr>
      </w:pPr>
      <w:r>
        <w:rPr>
          <w:rFonts w:ascii="Aptos Display" w:eastAsia="Aptos Display" w:hAnsi="Aptos Display" w:cs="Aptos Display"/>
          <w:b/>
          <w:bCs/>
        </w:rPr>
        <w:t>Illustrative Scenario</w:t>
      </w:r>
    </w:p>
    <w:p w14:paraId="0729647D" w14:textId="0D9B866D"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Consider Jamie Chen, a first-year undergraduate in the Geography and Environmental Studies program at the University of Regina who has dyslexia. For a course project in an Urban Planning module, Jamie has been assigned to explore how green spaces, such as public parks, community gardens, tree-lined streets, and conservation areas, affect human well-being, and to save a diverse set of high-quality sources for closer reading later rather than reading each one in full during the search itself. In an initial session, Jamie issues several exploratory queries, rereading and rewording each one before settling on a phrasing Jamie is confident is spelled and worded correctly, skims a dozen results, and saves a handful of promising sources, gradually realizing that the topic involves an unanticipated policy dimension. Even after finding useful material, Jamie's sense of whether the search is actually going well stays uncertain rather than settling, a pattern documented among undergraduate searchers with dyslexia specifically (Beveridge et al. 2022). After a two-day interruption for other coursework, Jamie returns to the task but can no longer recall which sources addressed which sub-question, why certain results were saved, or what remained unresolved; reconstructing this context consumes a disproportionate share of the second session before new search activity can resume (Li et al. 2020). Holding the original goal, the partial findings, and a new search direction in mind all at once taxes working memory further, making it more likely that progress is lost or that promising threads are abandoned rather than revisited (Choi and Arguello 2025). This scenario illustrates the central challenge addressed by this thesis: exploratory search interfaces typically preserve access to prior artifacts  documents, queries, bookmarks  but rarely preserve the reasoning and cognitive context a searcher like Jamie needs to resume effectively.</w:t>
      </w:r>
    </w:p>
    <w:p w14:paraId="6BDA56DE" w14:textId="77777777" w:rsidR="00933170" w:rsidRDefault="00000000" w:rsidP="61044F4B">
      <w:pPr>
        <w:pStyle w:val="Heading1"/>
        <w:spacing w:before="360" w:after="200"/>
        <w:rPr>
          <w:rFonts w:ascii="Aptos Display" w:eastAsia="Aptos Display" w:hAnsi="Aptos Display" w:cs="Aptos Display"/>
          <w:b/>
          <w:bCs/>
        </w:rPr>
      </w:pPr>
      <w:r>
        <w:rPr>
          <w:rFonts w:ascii="Aptos Display" w:eastAsia="Aptos Display" w:hAnsi="Aptos Display" w:cs="Aptos Display"/>
          <w:b/>
          <w:bCs/>
        </w:rPr>
        <w:t>Problem Statement</w:t>
      </w:r>
    </w:p>
    <w:p w14:paraId="7DAEFE32"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 xml:space="preserve">Complex search tasks often trigger exploratory search processes (Hoeber and Shukla 2021) that are inherently iterative (Katz et al. 2024), non-linear (Hoeber and Shukla 2021), </w:t>
      </w:r>
      <w:r>
        <w:rPr>
          <w:rFonts w:ascii="Aptos" w:eastAsia="Aptos" w:hAnsi="Aptos" w:cs="Aptos"/>
          <w:sz w:val="24"/>
          <w:szCs w:val="24"/>
        </w:rPr>
        <w:lastRenderedPageBreak/>
        <w:t>and multi-faceted (Hoeber, Pirmoradi, et al. 2024). Unlike simple information lookup, exploratory search requires users to continuously formulate and refine goals, evaluate information, construct interpretations, and determine future directions as their understanding evolves (Crescenzi et al. 2021; Hoeber 2025). Because these tasks cannot be satisfied by a single query or result (Hoeber 2025; Li et al. 2020), they frequently extend across multiple search sessions (Gomes et al. 2022; Hoeber, Islam, et al. 2024). As a result, searchers must maintain an evolving mental model of their search process, including previous decisions, explored information, unresolved questions, and possible next steps, across interruptions ranging from minutes (Gomes et al. 2022) to hours, days, or weeks (Hoeber, Islam, et al. 2024).</w:t>
      </w:r>
    </w:p>
    <w:p w14:paraId="43F8D8BC"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Research in cognitive science suggests that managing complex tasks depends not only on internal cognitive processes but also on interactions with external representations and contextual cues. The encoding specificity principle proposed by Tulving and Thomson (Tulving and Thomson 1973) demonstrates that successful memory retrieval depends on the availability of appropriate contextual cues. This indicates that when individuals return to a previously interrupted activity, effective support requires more than access to stored information; it requires cues that help reconstruct the context in which that information was originally interpreted. Similarly, theories of distributed cognition argue that cognition is not limited to an individual's internal mental processes but can be extended through interactions with external artifacts and representations (Hutchins 1995). Norman's concept of cognitive artifacts further describes how external structures can support human thinking by reducing the need to internally maintain complex information (Norman 1993).</w:t>
      </w:r>
    </w:p>
    <w:p w14:paraId="7C074198"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However, external cognitive support introduces an important design tension. While external representations can reduce cognitive demands, excessive reliance on external tools may alter how individuals engage with memory and reasoning. Risko and Gilbert's work on cognitive offloading demonstrates that people frequently use external resources to reduce cognitive effort, but such offloading may influence how information is processed, remembered, and retrieved (Risko and Gilbert 2016). This creates an important challenge for GenAI systems: while AI-based support can reduce unnecessary cognitive burden, excessive automation may encourage users to delegate reasoning processes that are important for learning, reflection, and knowledge development.</w:t>
      </w:r>
    </w:p>
    <w:p w14:paraId="60E20218"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 xml:space="preserve">These cognitive challenges are particularly relevant in exploratory search, where users must maintain an internal understanding of the search process while simultaneously processing new information. Cross-session search studies demonstrate that returning searchers often experience significant reacquaintance costs because traditional </w:t>
      </w:r>
      <w:r>
        <w:rPr>
          <w:rFonts w:ascii="Aptos" w:eastAsia="Aptos" w:hAnsi="Aptos" w:cs="Aptos"/>
          <w:sz w:val="24"/>
          <w:szCs w:val="24"/>
        </w:rPr>
        <w:lastRenderedPageBreak/>
        <w:t>interfaces primarily preserve documents, queries, or browsing histories without preserving sufficient context about previous goals, reasoning, and progress (Gomes et al. 2022; Hoeber, Islam, et al. 2024). Resuming a search is therefore not simply a matter of retrieving previous materials; it requires reconstructing the cognitive state that guided earlier exploration. Recent approaches such as Search Timelines demonstrate that externalizing search activity can support this reconstruction process by helping users review previous actions and identify where to continue (Hoeber, Islam, et al. 2024).</w:t>
      </w:r>
    </w:p>
    <w:p w14:paraId="7C094C55"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For individuals with reduced working memory capacity (Choi and Arguello 2025; Choi et al. 2023), including some users with ADHD or dyslexia-related cognitive challenges (Choi and Arguello 2025; Choi et al. 2023; Jamshed et al. 2025; Zhu et al. 2026; Seihoon et al. 2026), maintaining this cognitive context can be particularly demanding. Research in information retrieval shows that working memory capacity influences how searchers perform monitoring, evaluation, and sensemaking during complex search tasks (Choi and Arguello 2025; Choi et al. 2023). Users with greater cognitive constraints may experience increased difficulty maintaining the "thread" of exploration, integrating newly discovered information, and determining whether to continue an existing direction or change strategy (Gomes et al. 2022; Hoeber, Islam, et al. 2024; Luo et al. 2025). However, even users without identified cognitive limitations may encounter working-memory challenges during long-term research activities because exploratory tasks require simultaneous management of goals, evidence, uncertainty, and emerging understanding.</w:t>
      </w:r>
    </w:p>
    <w:p w14:paraId="369038C3"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Current search interfaces provide limited support for these cognitive demands. Prior research has shown that organizing information, visualizing relationships, and supporting reflective activities can improve exploratory search by externalizing parts of the search process (Crescenzi et al. 2021; Li et al. 2021; Orin and Hoeber 2025). However, users remain responsible for monitoring progress, evaluating evidence, identifying knowledge gaps, and deciding when their understanding should change (Choi et al. 2023; Crescenzi et al. 2021; Hoeber 2025).</w:t>
      </w:r>
    </w:p>
    <w:p w14:paraId="150E6AEA"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Recent developments in generative AI introduce new opportunities for supporting these challenges. LLM-based systems can maintain contextual summaries, identify relationships among information, provide reflective prompts, and support task management across sessions (An 2025; Katz et al. 2024; Yang et al. 2025; Zhu et al. 2026). However, existing approaches also raise concerns about whether automated synthesis may bypass users' own exploration and evaluation processes, potentially reducing opportunities for learning and metacognitive engagement (Luo et al. 2025). Therefore, effective GenAI support requires balancing cognitive assistance with preservation of user agency.</w:t>
      </w:r>
    </w:p>
    <w:p w14:paraId="21781B05"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lastRenderedPageBreak/>
        <w:t>This research addresses this challenge by investigating how GenAI-assisted exploratory search systems can provide cognitive scaffolding for metacognition, cross-session continuity, and working memory limitations while avoiding excessive cognitive offloading. Rather than replacing the searcher's reasoning process, the proposed system explores how GenAI can function as a collaborative partner that provides retrieval cues, externalizes important cognitive structures, maintains provenance of evolving understanding, and supports reflection throughout the search journey.</w:t>
      </w:r>
    </w:p>
    <w:p w14:paraId="00D03136" w14:textId="05F94263" w:rsidR="7E69D383" w:rsidRDefault="7E69D383" w:rsidP="7E69D383">
      <w:pPr>
        <w:pStyle w:val="Heading1"/>
        <w:spacing w:before="360" w:after="200"/>
        <w:rPr>
          <w:rFonts w:ascii="Aptos Display" w:eastAsia="Aptos Display" w:hAnsi="Aptos Display" w:cs="Aptos Display"/>
          <w:b/>
          <w:bCs/>
        </w:rPr>
      </w:pPr>
    </w:p>
    <w:p w14:paraId="314461C6" w14:textId="77777777" w:rsidR="00933170" w:rsidRDefault="00000000" w:rsidP="61044F4B">
      <w:pPr>
        <w:pStyle w:val="Heading1"/>
        <w:spacing w:before="360" w:after="200"/>
        <w:rPr>
          <w:rFonts w:ascii="Aptos Display" w:eastAsia="Aptos Display" w:hAnsi="Aptos Display" w:cs="Aptos Display"/>
          <w:b/>
          <w:bCs/>
        </w:rPr>
      </w:pPr>
      <w:r>
        <w:rPr>
          <w:rFonts w:ascii="Aptos Display" w:eastAsia="Aptos Display" w:hAnsi="Aptos Display" w:cs="Aptos Display"/>
          <w:b/>
          <w:bCs/>
        </w:rPr>
        <w:t>Related Work</w:t>
      </w:r>
    </w:p>
    <w:p w14:paraId="158CC647"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This research is situated at the intersection of exploratory search, cognitive support, and human-centered generative AI.</w:t>
      </w:r>
    </w:p>
    <w:p w14:paraId="073AFEEC"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Complex information seeking tasks differ from traditional lookup tasks because users must progressively develop an understanding of an unfamiliar information space, refine their goals, evaluate evidence, and determine future directions as their knowledge evolves (Hoeber 2025). Such tasks are inherently iterative and non-linear, requiring users to continuously manage both the information they discover and the cognitive processes involved in exploration (Hoeber and Shukla 2021; Hoeber, Pirmoradi, et al. 2024).</w:t>
      </w:r>
    </w:p>
    <w:p w14:paraId="2CCF81EE"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From a cognitive perspective, human problem solving is not restricted to internal mental processes alone. Norman introduced the concept of cognitive artifacts to describe external representations that support human thinking by making information easier to perceive, manipulate, and reason about (Norman 1993). Similarly, Hutchins' theory of distributed cognition argues that cognition can emerge through interactions between individuals, external representations, and the surrounding environment rather than being confined within the individual's mind (Hutchins 1995). These perspectives provide an important theoretical foundation for search interface design: external structures should augment human reasoning by supporting complex cognitive activities rather than attempting to replace them.</w:t>
      </w:r>
    </w:p>
    <w:p w14:paraId="601F3427"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 xml:space="preserve">The use of external representations, however, introduces an important design consideration. While external tools can reduce cognitive demands by allowing users to offload information, excessive dependence on external support may influence how individuals engage with memory and reasoning processes. Risko and Gilbert describe this phenomenon as cognitive offloading, where people use external resources to reduce internal cognitive effort, while noting that such strategies may alter how information is </w:t>
      </w:r>
      <w:r>
        <w:rPr>
          <w:rFonts w:ascii="Aptos" w:eastAsia="Aptos" w:hAnsi="Aptos" w:cs="Aptos"/>
          <w:sz w:val="24"/>
          <w:szCs w:val="24"/>
        </w:rPr>
        <w:lastRenderedPageBreak/>
        <w:t>processed and remembered (Risko and Gilbert 2016). Therefore, effective cognitive support systems must balance reducing unnecessary mental burden while preserving the user's active engagement with exploration and sensemaking.</w:t>
      </w:r>
    </w:p>
    <w:p w14:paraId="7D56D317"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Within information retrieval, these challenges are particularly relevant for exploratory search, where users must coordinate multiple cognitive activities including planning, monitoring progress, and evaluating information. This review examines three interconnected areas that motivate the proposed research: metacognition during exploratory search, continuity across search sessions, and working memory capacity. For each area, existing approaches involving interface design, visualization, and generative AI are reviewed with emphasis on how systems provide cognitive scaffolding while maintaining user agency.</w:t>
      </w:r>
    </w:p>
    <w:p w14:paraId="07D3EBAA" w14:textId="77777777" w:rsidR="00933170" w:rsidRDefault="00000000" w:rsidP="61044F4B">
      <w:pPr>
        <w:pStyle w:val="Heading2"/>
        <w:spacing w:before="280" w:after="160"/>
        <w:rPr>
          <w:rFonts w:ascii="Aptos" w:eastAsia="Aptos" w:hAnsi="Aptos" w:cs="Aptos"/>
          <w:b/>
          <w:bCs/>
          <w:sz w:val="32"/>
          <w:szCs w:val="32"/>
        </w:rPr>
      </w:pPr>
      <w:r>
        <w:rPr>
          <w:rFonts w:ascii="Aptos" w:eastAsia="Aptos" w:hAnsi="Aptos" w:cs="Aptos"/>
          <w:b/>
          <w:bCs/>
          <w:sz w:val="28"/>
          <w:szCs w:val="28"/>
        </w:rPr>
        <w:t>Metacognition</w:t>
      </w:r>
    </w:p>
    <w:p w14:paraId="1FA99D03"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Metacognition refers to an individual's awareness and regulation of their own cognitive processes during task performance. In exploratory search, metacognition is essential because searchers must not only evaluate retrieved information but also monitor the effectiveness of their search strategies, determine whether they are making progress, and decide when a change in direction is necessary (Crescenzi et al. 2021). Unlike traditional information retrieval tasks with clearly defined goals, exploratory search involves evolving information needs where users gradually refine their understanding of the problem space through interaction with retrieved information (Hoeber 2025).</w:t>
      </w:r>
    </w:p>
    <w:p w14:paraId="79E7547B"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Prior research identifies several regulatory activities involved in metacognitive search behavior: planning, which involves establishing search objectives and identifying possible strategies; monitoring, which involves maintaining awareness of progress and remaining uncertainties; and evaluation, which involves judging the relevance and usefulness of encountered information (Crescenzi et al. 2021). These activities require users to maintain an understanding of both the external information environment and their own evolving knowledge state.</w:t>
      </w:r>
    </w:p>
    <w:p w14:paraId="3CD8BD48"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 xml:space="preserve">Because this thesis scopes exploratory search to the search results page itself, rather than to how a searcher subsequently reads and learns from a full document, it adopts planning, monitoring, and evaluating as its guiding metacognitive activities, following Crescenzi et al.'s characterization of these as core, measurable regulatory activities relevant to exploratory search (Crescenzi et al. 2021), rather than the broader self-regulated learning (SRL) models developed for learning-oriented tasks that extend beyond the search results page. This motivates this thesis's emphasis on scaffolding these three specific regulatory activities rather than treating metacognition as an undifferentiated form of self-awareness. </w:t>
      </w:r>
      <w:r>
        <w:rPr>
          <w:rFonts w:ascii="Aptos" w:eastAsia="Aptos" w:hAnsi="Aptos" w:cs="Aptos"/>
          <w:sz w:val="24"/>
          <w:szCs w:val="24"/>
        </w:rPr>
        <w:lastRenderedPageBreak/>
        <w:t>Separately, in a search-as-learning study, Urgo and Arguello show that the quality of a searcher's self-set goals is associated with that searcher's downstream learning outcomes, indicating that how a search goal is formed shapes a searcher's subsequent progress (Urgo and Arguello 2024); this finding is used later in this review as supporting evidence for scaffolding goal formation specifically during planning, not as a theoretical framework adopted by the thesis as a whole.</w:t>
      </w:r>
    </w:p>
    <w:p w14:paraId="02E397F9"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The importance of metacognition becomes particularly apparent in learning-oriented and research-oriented search tasks. Searchers are not simply locating documents; they are constructing interpretations, comparing evidence, identifying relationships, and developing conceptual understanding. Hoeber argues that exploratory search interfaces should support the broader investigative process rather than focusing exclusively on ranked retrieval results (Hoeber 2025). Similarly, Crescenzi et al. demonstrate that exploratory search requires mechanisms that help users actively organize and reflect on their search activities because understanding emerges through interaction with information rather than through retrieval alone (Crescenzi et al. 2021).</w:t>
      </w:r>
    </w:p>
    <w:p w14:paraId="5D66AB22"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However, maintaining metacognitive awareness during complex search introduces significant cognitive demands. Users must simultaneously remember their original objectives, track explored directions, evaluate evidence, and determine appropriate next actions. Recent work by Choi and Arguello shows that working memory capacity influences how searchers perform monitoring and sensemaking activities, suggesting that metacognitive regulation is closely connected to individual cognitive differences (Choi and Arguello 2025). Their findings indicate that search support mechanisms should consider variations in users' cognitive resources rather than assuming a uniform search experience.</w:t>
      </w:r>
    </w:p>
    <w:p w14:paraId="25A37BC4"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Consequently, supporting exploratory search requires more than improving access to relevant information. Effective systems must help users maintain awareness of their search process, externalize important cognitive structures, and support reflection without removing responsibility for interpretation and decision making. The following section reviews how prior research has attempted to scaffold metacognitive activities through interface design, visualization, and generative AI.</w:t>
      </w:r>
    </w:p>
    <w:p w14:paraId="55A87E03" w14:textId="77777777" w:rsidR="00933170" w:rsidRDefault="00000000" w:rsidP="61044F4B">
      <w:pPr>
        <w:pStyle w:val="Heading2"/>
        <w:spacing w:before="280" w:after="160"/>
        <w:rPr>
          <w:rFonts w:ascii="Aptos" w:eastAsia="Aptos" w:hAnsi="Aptos" w:cs="Aptos"/>
          <w:b/>
          <w:bCs/>
          <w:sz w:val="32"/>
          <w:szCs w:val="32"/>
        </w:rPr>
      </w:pPr>
      <w:r>
        <w:rPr>
          <w:rFonts w:ascii="Aptos" w:eastAsia="Aptos" w:hAnsi="Aptos" w:cs="Aptos"/>
          <w:b/>
          <w:bCs/>
          <w:sz w:val="28"/>
          <w:szCs w:val="28"/>
        </w:rPr>
        <w:t>Metacognitive Scaffolding</w:t>
      </w:r>
    </w:p>
    <w:p w14:paraId="76FE25F7"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 xml:space="preserve">The term scaffolding originates in developmental psychology, where it describes contingent support that helps a learner accomplish a task beyond what they could achieve unassisted, and which is progressively withdrawn as competence increases (Wood et al. 1976). Within information retrieval, this concept has been adapted to describe interface, visualization, and system support for the regulatory activities involved in exploratory </w:t>
      </w:r>
      <w:r>
        <w:rPr>
          <w:rFonts w:ascii="Aptos" w:eastAsia="Aptos" w:hAnsi="Aptos" w:cs="Aptos"/>
          <w:sz w:val="24"/>
          <w:szCs w:val="24"/>
        </w:rPr>
        <w:lastRenderedPageBreak/>
        <w:t>search (Crescenzi et al. 2021), and, most recently, to describe specific interactive features (organization, highlighting, summarization) whose individual and combined contributions to metacognition and task resumption have been isolated experimentally, which Momeni and Hoeber term "task-resumption scaffolds" (Momeni and Hoeber 2026). A more exhaustive grounding of this definition against the broader information retrieval scaffolding literature remains an open task for this thesis (see Task List).</w:t>
      </w:r>
    </w:p>
    <w:p w14:paraId="07E55B5F"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Metacognitive scaffolding aims to support users in regulating their own thinking processes during complex search activities. Rather than automating the entire search process, these approaches seek to externalize aspects of planning, monitoring, evaluation, and reflection so that users can better manage evolving information needs while maintaining control over their decisions (Crescenzi et al. 2021). Existing approaches can be broadly categorized into three areas: interface-based scaffolding, visualization-based scaffolding, and more recently, generative AI-based scaffolding.</w:t>
      </w:r>
    </w:p>
    <w:p w14:paraId="633A10AF" w14:textId="77777777" w:rsidR="00933170" w:rsidRDefault="00000000" w:rsidP="61044F4B">
      <w:pPr>
        <w:pStyle w:val="Heading3"/>
        <w:spacing w:before="220" w:after="140"/>
        <w:rPr>
          <w:rFonts w:ascii="Aptos" w:eastAsia="Aptos" w:hAnsi="Aptos" w:cs="Aptos"/>
          <w:b/>
          <w:bCs/>
          <w:i/>
          <w:iCs/>
          <w:sz w:val="28"/>
          <w:szCs w:val="28"/>
        </w:rPr>
      </w:pPr>
      <w:r>
        <w:rPr>
          <w:rFonts w:ascii="Aptos" w:eastAsia="Aptos" w:hAnsi="Aptos" w:cs="Aptos"/>
          <w:b/>
          <w:bCs/>
          <w:i/>
          <w:iCs/>
        </w:rPr>
        <w:t>Interface Design for Metacognitive Scaffolding</w:t>
      </w:r>
    </w:p>
    <w:p w14:paraId="3940E0E1"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Early approaches to metacognitive support in exploratory search focused on providing users with interactive spaces for organizing and managing information. These systems recognize that searchers often need to construct their own representations of an emerging information space rather than simply consume ranked results.</w:t>
      </w:r>
    </w:p>
    <w:p w14:paraId="282AA29E"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Crescenzi et al. introduced OrgBox, a search interface extension designed to support metacognitive activities during exploratory search (Crescenzi et al. 2021). OrgBox provides users with an organizational workspace where they can create containers, assign labels, and group retrieved information according to their own interpretation of the search task. Rather than automatically determining document categories, the system requires users to actively organize information, encouraging reflection on relationships among retrieved materials and supporting awareness of search progress.</w:t>
      </w:r>
    </w:p>
    <w:p w14:paraId="1126CC36"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The underlying principle of OrgBox aligns with theories of cognitive artifacts and distributed cognition. By allowing users to externalize emerging conceptual structures, the interface reduces the need to internally maintain relationships among documents and concepts. Instead of replacing user reasoning, the workspace becomes an external representation that supports ongoing interpretation and decision making (Norman 1993; Hutchins 1995). Evaluation of similar organizational approaches suggests that requiring users to actively structure information can support sensemaking by encouraging deliberate reflection on collected materials (Li et al. 2021).</w:t>
      </w:r>
    </w:p>
    <w:p w14:paraId="61BFB87A"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 xml:space="preserve">More recent work has extended this idea beyond individual document organization. Orin and Hoeber examined the role of organizing found information within public digital library </w:t>
      </w:r>
      <w:r>
        <w:rPr>
          <w:rFonts w:ascii="Aptos" w:eastAsia="Aptos" w:hAnsi="Aptos" w:cs="Aptos"/>
          <w:sz w:val="24"/>
          <w:szCs w:val="24"/>
        </w:rPr>
        <w:lastRenderedPageBreak/>
        <w:t>search environments and argued that organization is not merely a post-search management activity but an essential component of exploratory information seeking (Orin and Hoeber 2025). Their work highlights the importance of supporting users while they are constructing understanding, rather than only preserving final collections of documents.</w:t>
      </w:r>
    </w:p>
    <w:p w14:paraId="1B9D29EA"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These interface-based approaches share an important design principle: scaffolding should provide structure without removing user agency. The system assists users in managing complexity, but users remain responsible for determining categories, interpreting relationships, and deciding the direction of exploration.</w:t>
      </w:r>
    </w:p>
    <w:p w14:paraId="7E24A90A" w14:textId="77777777" w:rsidR="00933170" w:rsidRDefault="00000000" w:rsidP="61044F4B">
      <w:pPr>
        <w:pStyle w:val="Heading3"/>
        <w:spacing w:before="220" w:after="140"/>
        <w:rPr>
          <w:rFonts w:ascii="Aptos" w:eastAsia="Aptos" w:hAnsi="Aptos" w:cs="Aptos"/>
          <w:b/>
          <w:bCs/>
          <w:i/>
          <w:iCs/>
          <w:sz w:val="28"/>
          <w:szCs w:val="28"/>
        </w:rPr>
      </w:pPr>
      <w:r>
        <w:rPr>
          <w:rFonts w:ascii="Aptos" w:eastAsia="Aptos" w:hAnsi="Aptos" w:cs="Aptos"/>
          <w:b/>
          <w:bCs/>
          <w:i/>
          <w:iCs/>
        </w:rPr>
        <w:t>Visualization-Based Metacognitive Scaffolding</w:t>
      </w:r>
    </w:p>
    <w:p w14:paraId="6F54426C"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Visualization provides another mechanism for supporting metacognition by transforming hidden relationships and search states into visible external representations. In exploratory search, users often need to understand not only individual documents but also how retrieved information relates to broader concepts, previous actions, and emerging knowledge structures.</w:t>
      </w:r>
    </w:p>
    <w:p w14:paraId="460FF522"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OrgBox represents one example of visualization-based scaffolding by allowing users to create spatial organizations of retrieved information (Crescenzi et al. 2021). These visual structures make relationships among documents observable and allow searchers to monitor how their understanding develops throughout exploration. Instead of requiring users to remember previous organizational decisions, the interface preserves these decisions as persistent visual artifacts.</w:t>
      </w:r>
    </w:p>
    <w:p w14:paraId="1A52332A"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Other research has explored visualizing relationships within the search information space. Hoeber and Shukla introduced visually linked keywords to support exploratory browsing by revealing connections among search concepts and enabling users to discover alternative exploration paths (Hoeber and Shukla 2021). Similarly, Hoeber et al. investigated Visual Keyword/Result Linking, where interactions dynamically expose relationships between keywords and search results, allowing users to explore connections that may not be apparent within traditional ranked lists (Hoeber, Pirmoradi, et al. 2024).</w:t>
      </w:r>
    </w:p>
    <w:p w14:paraId="6D4F2AE2"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These approaches demonstrate how visualization can function as a form of cognitive externalization. Rather than requiring users to maintain complex relationships mentally, visual representations allow important structures to remain available within the interaction environment. This principle is consistent with distributed cognition, where external representations participate in cognitive activities by supporting perception, reasoning, and decision making (Hutchins 1995). However, visualization-based approaches generally preserve the user's interpretive role: the system reveals relationships, but the user determines their meaning and relevance.</w:t>
      </w:r>
    </w:p>
    <w:p w14:paraId="7840CB32"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lastRenderedPageBreak/>
        <w:t>Despite these advantages, traditional visualizations are often limited to representing existing search structures, such as keywords, documents, or interaction histories. They provide support for awareness and organization but typically do not actively assist users in planning future actions or reflecting on their search strategies. This limitation has motivated recent exploration of generative AI as a more interactive form of cognitive scaffolding.</w:t>
      </w:r>
    </w:p>
    <w:p w14:paraId="31222263" w14:textId="10B08A99" w:rsidR="61044F4B" w:rsidRDefault="61044F4B" w:rsidP="61044F4B">
      <w:pPr>
        <w:pStyle w:val="Heading3"/>
        <w:spacing w:before="220" w:after="140"/>
        <w:rPr>
          <w:rFonts w:ascii="Aptos" w:eastAsia="Aptos" w:hAnsi="Aptos" w:cs="Aptos"/>
          <w:b/>
          <w:bCs/>
          <w:i/>
          <w:iCs/>
        </w:rPr>
      </w:pPr>
    </w:p>
    <w:p w14:paraId="0E260401" w14:textId="77777777" w:rsidR="00933170" w:rsidRDefault="00000000" w:rsidP="61044F4B">
      <w:pPr>
        <w:pStyle w:val="Heading3"/>
        <w:spacing w:before="220" w:after="140"/>
        <w:rPr>
          <w:rFonts w:ascii="Aptos" w:eastAsia="Aptos" w:hAnsi="Aptos" w:cs="Aptos"/>
          <w:b/>
          <w:bCs/>
          <w:i/>
          <w:iCs/>
          <w:sz w:val="28"/>
          <w:szCs w:val="28"/>
        </w:rPr>
      </w:pPr>
      <w:r>
        <w:rPr>
          <w:rFonts w:ascii="Aptos" w:eastAsia="Aptos" w:hAnsi="Aptos" w:cs="Aptos"/>
          <w:b/>
          <w:bCs/>
          <w:i/>
          <w:iCs/>
        </w:rPr>
        <w:t>Generative AI for Metacognitive Scaffolding</w:t>
      </w:r>
    </w:p>
    <w:p w14:paraId="72ED305B"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The emergence of large language models (LLMs) has introduced new opportunities for supporting metacognitive activities by enabling systems to provide contextual assistance, reflective prompts, and adaptive guidance throughout exploratory tasks. Unlike traditional interfaces that primarily preserve user-generated structures, generative AI systems can actively participate in supporting planning, monitoring, and reflection.</w:t>
      </w:r>
    </w:p>
    <w:p w14:paraId="1504CD54"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Zhu et al. explored the potential of GenAI-based metacognitive scaffolding for university students with ADHD (Zhu et al. 2026). Their work examines how AI-generated prompts can encourage users to establish goals, monitor progress, identify difficulties, and reconsider strategies when encountering challenges. Rather than positioning AI as an autonomous problem solver, the study emphasizes AI as a supportive mechanism that encourages users to engage in self-regulation.</w:t>
      </w:r>
    </w:p>
    <w:p w14:paraId="57BD39BC"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Similarly, Yang et al. introduced Search+Chat, an integrated search and conversational AI system designed to support learning-oriented search tasks (Yang et al. 2025). Their approach demonstrates how conversational interaction can complement traditional retrieval by helping users explore alternative directions, formulate follow-up questions, and continue investigation when progress becomes difficult. Importantly, the system preserves the user's role in evaluating information rather than replacing human judgment with generated answers.</w:t>
      </w:r>
    </w:p>
    <w:p w14:paraId="7F91B804"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Beyond interactive assistance, recent work has investigated whether LLMs can maintain cognitive context across extended tasks. An proposed the Cognitive Workspace concept, where an LLM maintains an external representation of task-related information, including goals, intermediate findings, and contextual state (An 2025). Although this work is currently conceptual, it highlights the possibility of using LLMs as dynamic external memory systems that support continuity during complex activities.</w:t>
      </w:r>
    </w:p>
    <w:p w14:paraId="2B8BA622"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 xml:space="preserve">LLMs have also been explored for structuring large information spaces. Katz et al. introduced Knowledge Navigator, an LLM-guided browsing framework for scientific </w:t>
      </w:r>
      <w:r>
        <w:rPr>
          <w:rFonts w:ascii="Aptos" w:eastAsia="Aptos" w:hAnsi="Aptos" w:cs="Aptos"/>
          <w:sz w:val="24"/>
          <w:szCs w:val="24"/>
        </w:rPr>
        <w:lastRenderedPageBreak/>
        <w:t>literature exploration that organizes research papers into meaningful thematic structures (Katz et al. 2024). Similarly, Luo et al. discuss opportunities and challenges of using LLMs to support exploratory learning by assisting users in navigating and synthesizing complex information environments (Luo et al. 2025).</w:t>
      </w:r>
    </w:p>
    <w:p w14:paraId="13899157"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Direct empirical evidence that GenAI can support metacognitive regulation comes from Momeni and Hoeber's cross-session laboratory study of an aggregated digital humanities search workspace (Momeni and Hoeber 2026). Using Crescenzi et al.'s (2021) planning, monitoring, and evaluation instrument, originally developed for the OrgBox study and reused here rather than rewritten, they found that AI-generated summarization, especially when combined with searcher-authored passage highlights that steer the summarization prompt, produced significantly higher planning, monitoring, and evaluation scores than an organization-only baseline, with the largest gains observed after a one-week interruption. This finding is significant for the present thesis because it demonstrates, with a validated instrument rather than researcher intuition, that GenAI-based scaffolding can measurably improve all three of the core metacognitive activities emphasized in this review, provided the AI's output remains traceable to searcher-selected evidence rather than operating as an unconstrained black box.</w:t>
      </w:r>
    </w:p>
    <w:p w14:paraId="3559E2F6"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However, recent research highlights an important tension between assistance and autonomy. While AI systems can reduce cognitive effort, excessive automation may limit opportunities for users to develop understanding through active exploration. This concern relates directly to cognitive offloading, where external tools reduce internal cognitive demands but may also influence how individuals engage with memory and reasoning processes (Risko and Gilbert 2016). Choi et al. further demonstrate that users with different cognitive abilities may benefit from different forms of support, suggesting that uniform automation may not be appropriate for all searchers (Choi and Arguello 2025; Choi et al. 2023). Additionally, research with neurodivergent students indicates that GenAI systems should support individual workflows and learning processes rather than simply optimize speed or productivity (Jamshed et al. 2025).</w:t>
      </w:r>
    </w:p>
    <w:p w14:paraId="53BCA65D"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Therefore, effective GenAI-based metacognitive scaffolding requires a careful balance between assistance and user agency. Current evidence suggests that AI systems are most valuable when they provide contextual cues, reflective prompts, and organizational support while maintaining transparency, provenance, and user control. This design philosophy motivates the proposed research, which investigates how GenAI can support exploratory search by reducing unnecessary cognitive demands without replacing the user's own reasoning process.</w:t>
      </w:r>
    </w:p>
    <w:p w14:paraId="7C5BF2CF" w14:textId="77777777" w:rsidR="00933170" w:rsidRDefault="00000000" w:rsidP="61044F4B">
      <w:pPr>
        <w:pStyle w:val="Heading2"/>
        <w:spacing w:before="280" w:after="160"/>
        <w:rPr>
          <w:rFonts w:ascii="Aptos" w:eastAsia="Aptos" w:hAnsi="Aptos" w:cs="Aptos"/>
          <w:b/>
          <w:bCs/>
          <w:sz w:val="32"/>
          <w:szCs w:val="32"/>
        </w:rPr>
      </w:pPr>
      <w:r>
        <w:rPr>
          <w:rFonts w:ascii="Aptos" w:eastAsia="Aptos" w:hAnsi="Aptos" w:cs="Aptos"/>
          <w:b/>
          <w:bCs/>
          <w:sz w:val="28"/>
          <w:szCs w:val="28"/>
        </w:rPr>
        <w:lastRenderedPageBreak/>
        <w:t>Cross-Session Search</w:t>
      </w:r>
    </w:p>
    <w:p w14:paraId="39B33BD4"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Complex exploratory search tasks frequently extend beyond a single interaction period because users require time to gather information, process findings, consult additional resources, or reconsider their initial direction. Cross-session search refers to information-seeking activities where users suspend and later resume a search task across multiple sessions, potentially separated by minutes, hours, days, or longer periods (Li et al. 2020; Gomes et al. 2022). Unlike single-session search, cross-session search introduces an additional cognitive challenge: users must reconstruct their previous understanding, including their original goals, explored pathways, evaluated information, and unresolved questions.</w:t>
      </w:r>
    </w:p>
    <w:p w14:paraId="4204BA16"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Research on everyday cross-session search demonstrates that interruptions are a natural characteristic of information seeking rather than exceptional events. Li et al. investigated how users conduct searches across multiple sessions and found that people frequently divide search activities because of task complexity, time constraints, or the need to process information before continuing exploration (Li et al. 2020). These interruptions create a requirement for users to maintain continuity between sessions, even when the search process is temporarily inactive.</w:t>
      </w:r>
    </w:p>
    <w:p w14:paraId="4CEBDCA1"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The challenge of resuming a search is not simply retrieving previously accessed information. Searchers must reconstruct the context in which information was discovered and interpreted. Gomes et al. examined cross-session and cross-device academic digital library search and found that returning users often face difficulties reacquiring awareness of their previous search activities, particularly when traditional interfaces provide only isolated artifacts such as query histories, saved documents, or bookmarks (Gomes et al. 2022). These artifacts preserve elements of the search process but often lack the contextual information required to understand why certain paths were explored or abandoned.</w:t>
      </w:r>
    </w:p>
    <w:p w14:paraId="20FFB29A"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This challenge can be understood through the encoding specificity principle proposed by Tulving and Thomson, which suggests that memory retrieval depends strongly on the availability of contextual cues associated with the original encoding process (Tulving and Thomson 1973). When users return to a previous search after an interruption, access to documents alone may be insufficient because the contextual cues that supported earlier interpretation and decision making may no longer be available. Effective cross-session support therefore requires mechanisms that help users reconstruct the cognitive state associated with previous exploration.</w:t>
      </w:r>
    </w:p>
    <w:p w14:paraId="0E9B9CD1"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lastRenderedPageBreak/>
        <w:t>Cross-session search is also closely connected to metacognitive regulation. Returning users must determine whether to continue from their previous point, change their strategy, or explore a new direction based on what they now understand. Li and Capra examined stopping behaviors in cross-session searches and showed that the reasons users stop searching are related to the information encountered and the cognitive activities being performed at the time of interruption (Li and Capra 2024). This indicates that session boundaries are not simply technical breaks but represent changes in the user's cognitive state and search strategy.</w:t>
      </w:r>
    </w:p>
    <w:p w14:paraId="1DF25C1F"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Hoeber argues that exploratory search interfaces should support continuity by preserving meaningful representations of search activity rather than treating each interaction as an isolated query-response event (Hoeber 2025). Similarly, research on Search Timelines demonstrates that representing previous search activities as an interactive history can help users revisit earlier exploration paths and identify potential points for continuation (Hoeber, Islam, et al. 2024).</w:t>
      </w:r>
    </w:p>
    <w:p w14:paraId="556F79EC"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Overall, cross-session search introduces a fundamental design challenge: systems must support continuity of understanding rather than merely continuity of access. Preserving documents, queries, or interaction logs alone does not guarantee that users can effectively resume complex exploration. Instead, interfaces must help users reconstruct previous reasoning, recognize progress, and decide how to proceed.</w:t>
      </w:r>
    </w:p>
    <w:p w14:paraId="78C1D23C" w14:textId="77777777" w:rsidR="00933170" w:rsidRDefault="00000000" w:rsidP="61044F4B">
      <w:pPr>
        <w:pStyle w:val="Heading2"/>
        <w:spacing w:before="280" w:after="160"/>
        <w:rPr>
          <w:rFonts w:ascii="Aptos" w:eastAsia="Aptos" w:hAnsi="Aptos" w:cs="Aptos"/>
          <w:b/>
          <w:bCs/>
          <w:sz w:val="32"/>
          <w:szCs w:val="32"/>
        </w:rPr>
      </w:pPr>
      <w:r>
        <w:rPr>
          <w:rFonts w:ascii="Aptos" w:eastAsia="Aptos" w:hAnsi="Aptos" w:cs="Aptos"/>
          <w:b/>
          <w:bCs/>
          <w:sz w:val="28"/>
          <w:szCs w:val="28"/>
        </w:rPr>
        <w:t>Cross-Session Scaffolding</w:t>
      </w:r>
    </w:p>
    <w:p w14:paraId="2E071270"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Cross-session scaffolding aims to reduce the cognitive effort required when users return to interrupted exploratory search tasks. The primary goal is not to automatically continue the search on behalf of the user, but to provide sufficient contextual support that enables users to rapidly regain awareness of their previous work and make informed decisions about future actions. Existing approaches include persistent interface structures, visualization techniques, and emerging generative AI approaches.</w:t>
      </w:r>
    </w:p>
    <w:p w14:paraId="302AC1E6" w14:textId="77777777" w:rsidR="00933170" w:rsidRDefault="00000000" w:rsidP="61044F4B">
      <w:pPr>
        <w:pStyle w:val="Heading3"/>
        <w:spacing w:before="220" w:after="140"/>
        <w:rPr>
          <w:rFonts w:ascii="Aptos" w:eastAsia="Aptos" w:hAnsi="Aptos" w:cs="Aptos"/>
          <w:b/>
          <w:bCs/>
          <w:i/>
          <w:iCs/>
          <w:sz w:val="28"/>
          <w:szCs w:val="28"/>
        </w:rPr>
      </w:pPr>
      <w:r>
        <w:rPr>
          <w:rFonts w:ascii="Aptos" w:eastAsia="Aptos" w:hAnsi="Aptos" w:cs="Aptos"/>
          <w:b/>
          <w:bCs/>
          <w:i/>
          <w:iCs/>
        </w:rPr>
        <w:t>Interface Design for Cross-Session Scaffolding</w:t>
      </w:r>
    </w:p>
    <w:p w14:paraId="6FB673EC"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Early cross-session support focused primarily on preserving access to previously encountered information. Traditional mechanisms such as browser history, bookmarks, and saved documents provide persistence across sessions; however, these approaches generally preserve information artifacts without preserving the reasoning and interpretation associated with those artifacts (Gomes et al. 2022).</w:t>
      </w:r>
    </w:p>
    <w:p w14:paraId="3B2AF9FD"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 xml:space="preserve">Li et al. examined everyday cross-session search practices and highlighted the importance of supporting users in identifying relevant previous search contexts when returning to a </w:t>
      </w:r>
      <w:r>
        <w:rPr>
          <w:rFonts w:ascii="Aptos" w:eastAsia="Aptos" w:hAnsi="Aptos" w:cs="Aptos"/>
          <w:sz w:val="24"/>
          <w:szCs w:val="24"/>
        </w:rPr>
        <w:lastRenderedPageBreak/>
        <w:t>task (Li et al. 2020). Rather than assuming that users always want to continue from their last action, effective systems should allow users to inspect previous activity and choose the appropriate point of resumption.</w:t>
      </w:r>
    </w:p>
    <w:p w14:paraId="565747C4"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Organization-based interfaces provide another form of cross-session support because structures created during one session can serve as cognitive anchors during later sessions. OrgBox and related search organization tools demonstrate how user-created categories and information structures can preserve aspects of search progress beyond the immediate interaction period (Crescenzi et al. 2021; Li et al. 2021). Similarly, Orin and Hoeber emphasize that organizing found information contributes to the development of persistent knowledge structures that users can revisit during future exploration (Orin and Hoeber 2025).</w:t>
      </w:r>
    </w:p>
    <w:p w14:paraId="2CDB169D"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Seihoon et al. introduce SearchPath, a multi-workspace academic search interface designed specifically for university students with dyslexia (Seihoon et al. 2026). Rather than a single save button, SearchPath prompts searchers to attach short text tags explaining why a result was saved, and embeds a persistent timeline of queries, saved results, and tags directly in the results page as a cross-session memory aid. Colour-personalized workspaces and an on-screen workspace title further help searchers who become distracted to reorient themselves to the task at hand. SearchPath is notable for the present thesis because it treats cross-session reacquaintance support as an accessibility intervention rather than only a general usability improvement, targeting the specific combination of reading, working memory, and attention demands that dyslexia can impose.</w:t>
      </w:r>
    </w:p>
    <w:p w14:paraId="71D3CEF2"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These approaches reflect the principles of cognitive artifacts and distributed cognition. By preserving user-created representations, interfaces can externalize parts of the searcher's mental model, reducing the need to reconstruct previous understanding entirely from memory (Norman 1993; Hutchins 1995). However, these systems typically rely on users to create and maintain the necessary structures, placing responsibility for organization and reflection primarily on the searcher.</w:t>
      </w:r>
    </w:p>
    <w:p w14:paraId="15EE53E2" w14:textId="77777777" w:rsidR="00933170" w:rsidRDefault="00000000" w:rsidP="61044F4B">
      <w:pPr>
        <w:pStyle w:val="Heading3"/>
        <w:spacing w:before="220" w:after="140"/>
        <w:rPr>
          <w:rFonts w:ascii="Aptos" w:eastAsia="Aptos" w:hAnsi="Aptos" w:cs="Aptos"/>
          <w:b/>
          <w:bCs/>
          <w:i/>
          <w:iCs/>
          <w:sz w:val="28"/>
          <w:szCs w:val="28"/>
        </w:rPr>
      </w:pPr>
      <w:r>
        <w:rPr>
          <w:rFonts w:ascii="Aptos" w:eastAsia="Aptos" w:hAnsi="Aptos" w:cs="Aptos"/>
          <w:b/>
          <w:bCs/>
          <w:i/>
          <w:iCs/>
        </w:rPr>
        <w:t>Visualization-Based Cross-Session Scaffolding</w:t>
      </w:r>
    </w:p>
    <w:p w14:paraId="7B26B3AB"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Visualization has emerged as an important approach for supporting search continuity because it can represent previous activities in ways that are easier to interpret than chronological logs or lists of saved items. Instead of requiring users to remember the sequence of previous actions, visual representations can provide contextual cues that support reacquaintance.</w:t>
      </w:r>
    </w:p>
    <w:p w14:paraId="43945ED6"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lastRenderedPageBreak/>
        <w:t>Hoeber et al. introduced Search Timelines, which visualize search history as an interactive temporal representation of previous exploratory activities (Hoeber, Islam, et al. 2024). By presenting queries, interactions, and related search activities within a broader timeline, the system helps users understand where they previously explored and identify potential paths for continuation.</w:t>
      </w:r>
    </w:p>
    <w:p w14:paraId="73D017A7"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Other visualization approaches support continuity by revealing relationships among information elements rather than only showing temporal history. Visual Keyword/Result Linking exposes connections between search terms and retrieved documents, allowing users to understand relationships within the explored information space (Hoeber, Pirmoradi, et al. 2024). Similarly, visually linked keyword approaches support exploratory browsing by helping users identify related concepts and alternative directions for investigation (Hoeber and Shukla 2021).</w:t>
      </w:r>
    </w:p>
    <w:p w14:paraId="59720EDC"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These visualization techniques serve as external cognitive structures that preserve aspects of the search process beyond the original session. From the perspective of distributed cognition, they allow parts of the searcher's understanding to remain available in the environment rather than requiring complete reconstruction from internal memory (Hutchins 1995). However, visualization alone does not determine whether a user should continue, abandon, or change a search direction. Instead, it provides contextual support while preserving human judgment.</w:t>
      </w:r>
    </w:p>
    <w:p w14:paraId="0F8A833C" w14:textId="77777777" w:rsidR="00933170" w:rsidRDefault="00000000" w:rsidP="61044F4B">
      <w:pPr>
        <w:pStyle w:val="Heading3"/>
        <w:spacing w:before="220" w:after="140"/>
        <w:rPr>
          <w:rFonts w:ascii="Aptos" w:eastAsia="Aptos" w:hAnsi="Aptos" w:cs="Aptos"/>
          <w:b/>
          <w:bCs/>
          <w:i/>
          <w:iCs/>
          <w:sz w:val="28"/>
          <w:szCs w:val="28"/>
        </w:rPr>
      </w:pPr>
      <w:r>
        <w:rPr>
          <w:rFonts w:ascii="Aptos" w:eastAsia="Aptos" w:hAnsi="Aptos" w:cs="Aptos"/>
          <w:b/>
          <w:bCs/>
          <w:i/>
          <w:iCs/>
        </w:rPr>
        <w:t>Generative AI for Cross-Session Scaffolding</w:t>
      </w:r>
    </w:p>
    <w:p w14:paraId="371A20F4"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Recent advances in generative AI provide new opportunities for supporting cross-session continuity by enabling systems to maintain and synthesize contextual information across interactions. Unlike traditional persistence mechanisms that store isolated artifacts, LLM-based systems can potentially maintain richer representations of goals, previous findings, and unresolved questions.</w:t>
      </w:r>
    </w:p>
    <w:p w14:paraId="36809C9D"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An proposed the concept of Cognitive Workspace, where an LLM maintains an external representation of task-related memory, including previous context and intermediate information states (An 2025). Such approaches suggest the possibility of AI systems acting as dynamic cognitive partners that help users recover task context after interruptions. However, these frameworks remain largely conceptual, and empirical evidence regarding their effectiveness in exploratory search scenarios is still limited.</w:t>
      </w:r>
    </w:p>
    <w:p w14:paraId="4C29BBC6"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 xml:space="preserve">LLM-based exploratory search systems have also investigated how AI can structure complex information environments. Katz et al. introduced Knowledge Navigator, an LLM-guided browsing framework that organizes scientific literature into thematic structures to support exploration of large research collections (Katz et al. 2024). While such systems </w:t>
      </w:r>
      <w:r>
        <w:rPr>
          <w:rFonts w:ascii="Aptos" w:eastAsia="Aptos" w:hAnsi="Aptos" w:cs="Aptos"/>
          <w:sz w:val="24"/>
          <w:szCs w:val="24"/>
        </w:rPr>
        <w:lastRenderedPageBreak/>
        <w:t>can reduce the effort required to navigate information spaces, they primarily focus on exploration within a session rather than preserving the user's evolving cognitive state across sessions.</w:t>
      </w:r>
    </w:p>
    <w:p w14:paraId="471A63D8"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Search+Chat represents another direction by integrating conversational AI with search interfaces to provide interactive assistance during learning-oriented tasks (Yang et al. 2025). Such systems demonstrate how AI can provide guidance, suggest possible directions, and support continued exploration. However, maintaining continuity across long-term exploratory tasks remains an open challenge.</w:t>
      </w:r>
    </w:p>
    <w:p w14:paraId="5192506E"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Momeni and Hoeber provide the most direct empirical test of GenAI-based cross-session scaffolding to date, comparing four aggregated-search workspace designs in a between-subjects study with an initial session and a resumed session one week later (Momeni and Hoeber 2026). Their baseline workspace automatically organizes saved resources using sentence-embedding-based clustering with automatically extracted cluster labels; two augmentations add interactive passage highlighting and attributable AI-generated summaries with inline citations, and a fourth combines both by feeding the searcher's highlights into the summarization prompt as a salience cue. In the resumed session, the combined interface produced the fastest task reacquaintance, the highest precision of saved resources, and the strongest scores on cross-session task-resumption measures, while summaries alone (without highlighting) still outperformed the organization-only baseline. This provides a close, recent, and empirically validated precedent for the embedding-based clustering and LLM-generated labeling approach proposed later in this document.</w:t>
      </w:r>
    </w:p>
    <w:p w14:paraId="73A45FAC"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A central concern in AI-based cross-session scaffolding is the risk of replacing user sensemaking with automated summaries. While generated summaries may accelerate reacquaintance, they may also remove important opportunities for users to revisit evidence, reconstruct reasoning, and actively engage with the search process. This concern is consistent with research on cognitive offloading, which highlights the trade-off between reducing cognitive effort and maintaining active cognitive engagement (Risko and Gilbert 2016). Momeni and Hoeber's results suggest one way to manage this trade-off empirically rather than only in principle: grounding AI summaries in searcher-selected highlights, rather than generating them from the full saved set unprompted, preserved and even strengthened self-reported metacognitive evaluation relative to summarization alone (Momeni and Hoeber 2026).</w:t>
      </w:r>
    </w:p>
    <w:p w14:paraId="7DB2FBDE"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 xml:space="preserve">Therefore, effective AI-based cross-session scaffolding should not simply summarize previous sessions or automatically determine future actions. Instead, systems should provide transparent, editable, and source-grounded representations of previous search </w:t>
      </w:r>
      <w:r>
        <w:rPr>
          <w:rFonts w:ascii="Aptos" w:eastAsia="Aptos" w:hAnsi="Aptos" w:cs="Aptos"/>
          <w:sz w:val="24"/>
          <w:szCs w:val="24"/>
        </w:rPr>
        <w:lastRenderedPageBreak/>
        <w:t>states. By offering contextual retrieval cues while preserving user decision making, GenAI has the potential to support continuity across exploratory search sessions without undermining the user's own reasoning process.</w:t>
      </w:r>
    </w:p>
    <w:p w14:paraId="7110F18C" w14:textId="77777777" w:rsidR="00933170" w:rsidRDefault="00000000" w:rsidP="61044F4B">
      <w:pPr>
        <w:pStyle w:val="Heading2"/>
        <w:spacing w:before="280" w:after="160"/>
        <w:rPr>
          <w:rFonts w:ascii="Aptos" w:eastAsia="Aptos" w:hAnsi="Aptos" w:cs="Aptos"/>
          <w:b/>
          <w:bCs/>
          <w:sz w:val="32"/>
          <w:szCs w:val="32"/>
        </w:rPr>
      </w:pPr>
      <w:r>
        <w:rPr>
          <w:rFonts w:ascii="Aptos" w:eastAsia="Aptos" w:hAnsi="Aptos" w:cs="Aptos"/>
          <w:b/>
          <w:bCs/>
          <w:sz w:val="28"/>
          <w:szCs w:val="28"/>
        </w:rPr>
        <w:t>Working Memory Capacity</w:t>
      </w:r>
    </w:p>
    <w:p w14:paraId="36F1224C"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Working memory refers to the limited cognitive system responsible for temporarily maintaining and manipulating information required to perform complex tasks. Unlike long-term memory, working memory has constrained capacity, requiring individuals to selectively maintain task-relevant information while processing new information. In exploratory search, working memory is continuously engaged because users must simultaneously maintain search goals, evaluate retrieved information, compare multiple sources, track previous decisions, and determine future actions (Choi and Arguello 2025).</w:t>
      </w:r>
    </w:p>
    <w:p w14:paraId="345B79FD"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The cognitive demands of exploratory search become particularly challenging because searchers must manage both information processing and search process regulation. While reviewing documents, users must remember why information was collected, how it relates to previous findings, and whether it contributes to their evolving understanding of the problem. Choi and Arguello demonstrate that working memory capacity significantly influences search and sensemaking behaviors, showing that individuals differ in their ability to monitor information, integrate knowledge, and maintain awareness of task progress (Choi and Arguello 2025). Similarly, Choi et al. found that users with varying cognitive abilities respond differently to knowledge representation tools, suggesting that interface support must account for individual differences rather than assuming a uniform cognitive experience (Choi et al. 2023).</w:t>
      </w:r>
    </w:p>
    <w:p w14:paraId="1CC7BF67"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The relationship between working memory and external support can be understood through theories of cognitive artifacts and distributed cognition. Norman argues that external representations can reduce the need to internally maintain complex information by making important knowledge structures available in the environment (Norman 1993). Similarly, Hutchins proposes that cognition emerges through interactions between individuals and external artifacts, meaning that well-designed tools can become part of the cognitive system rather than merely supporting it from outside (Hutchins 1995).</w:t>
      </w:r>
    </w:p>
    <w:p w14:paraId="7D46997E"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 xml:space="preserve">However, the use of external supports introduces important design considerations. According to Risko and Gilbert's theory of cognitive offloading, people naturally use external resources to reduce cognitive demands, such as writing information down instead of memorizing it or using digital tools instead of mental calculation (Risko and Gilbert 2016). Although cognitive offloading can improve task performance by reducing memory requirements, excessive dependence on external systems may reduce active engagement </w:t>
      </w:r>
      <w:r>
        <w:rPr>
          <w:rFonts w:ascii="Aptos" w:eastAsia="Aptos" w:hAnsi="Aptos" w:cs="Aptos"/>
          <w:sz w:val="24"/>
          <w:szCs w:val="24"/>
        </w:rPr>
        <w:lastRenderedPageBreak/>
        <w:t>with information processing and memory formation. Therefore, systems supporting working memory should carefully balance cognitive assistance with maintaining users' involvement in reasoning and sensemaking.</w:t>
      </w:r>
    </w:p>
    <w:p w14:paraId="0317444F"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Within exploratory search, working memory limitations are particularly important during extended research activities. Searchers often need to remember previous queries, document relationships, emerging concepts, and unresolved questions while exploring new information. When these elements exceed working memory capacity, users may lose awareness of previous reasoning, repeat unsuccessful exploration paths, or fail to connect newly discovered information with existing knowledge structures (Choi and Arguello 2025; Gomes et al. 2022). These challenges motivate the development of interfaces that externalize important cognitive structures while preserving human interpretation and decision making.</w:t>
      </w:r>
    </w:p>
    <w:p w14:paraId="281E5892" w14:textId="77777777" w:rsidR="00933170" w:rsidRDefault="00000000" w:rsidP="61044F4B">
      <w:pPr>
        <w:pStyle w:val="Heading2"/>
        <w:spacing w:before="280" w:after="160"/>
        <w:rPr>
          <w:rFonts w:ascii="Aptos" w:eastAsia="Aptos" w:hAnsi="Aptos" w:cs="Aptos"/>
          <w:b/>
          <w:bCs/>
          <w:sz w:val="32"/>
          <w:szCs w:val="32"/>
        </w:rPr>
      </w:pPr>
      <w:r>
        <w:rPr>
          <w:rFonts w:ascii="Aptos" w:eastAsia="Aptos" w:hAnsi="Aptos" w:cs="Aptos"/>
          <w:b/>
          <w:bCs/>
          <w:sz w:val="28"/>
          <w:szCs w:val="28"/>
        </w:rPr>
        <w:t>Working Memory Scaffolding</w:t>
      </w:r>
    </w:p>
    <w:p w14:paraId="70478776"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Working memory scaffolding aims to reduce unnecessary cognitive demands by externalizing information that users would otherwise need to maintain mentally. Similar to metacognitive scaffolding, the objective is not to replace human cognition but to provide external structures that allow users to focus their limited cognitive resources on higher-level reasoning, interpretation, and decision making.</w:t>
      </w:r>
    </w:p>
    <w:p w14:paraId="458D3230" w14:textId="77777777" w:rsidR="00933170" w:rsidRDefault="00000000" w:rsidP="61044F4B">
      <w:pPr>
        <w:pStyle w:val="Heading3"/>
        <w:spacing w:before="220" w:after="140"/>
        <w:rPr>
          <w:rFonts w:ascii="Aptos" w:eastAsia="Aptos" w:hAnsi="Aptos" w:cs="Aptos"/>
          <w:b/>
          <w:bCs/>
          <w:i/>
          <w:iCs/>
          <w:sz w:val="28"/>
          <w:szCs w:val="28"/>
        </w:rPr>
      </w:pPr>
      <w:r>
        <w:rPr>
          <w:rFonts w:ascii="Aptos" w:eastAsia="Aptos" w:hAnsi="Aptos" w:cs="Aptos"/>
          <w:b/>
          <w:bCs/>
          <w:i/>
          <w:iCs/>
        </w:rPr>
        <w:t>Interface Design for Working Memory Scaffolding</w:t>
      </w:r>
    </w:p>
    <w:p w14:paraId="7E4D2F11"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Interface-based approaches to working memory support have primarily focused on providing persistent spaces where users can organize, store, and revisit information during exploratory tasks. Knowledge representation tools such as OrgBox allow users to create external structures for organizing retrieved documents, concepts, and emerging categories (Crescenzi et al. 2021). By maintaining these structures alongside search activities, users do not need to continuously remember relationships among collected information.</w:t>
      </w:r>
    </w:p>
    <w:p w14:paraId="4D29E47C"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Choi et al. investigated how knowledge representation tools influence searchers with different cognitive abilities and found that external organization mechanisms can provide valuable support, but their effectiveness depends on individual cognitive characteristics (Choi et al. 2023). This finding suggests that working memory scaffolding should not impose a fixed organizational strategy. Instead, systems should provide flexible structures that users can adapt according to their own reasoning processes.</w:t>
      </w:r>
    </w:p>
    <w:p w14:paraId="672CEC62"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 xml:space="preserve">Recent work on organizing found information in digital library environments further emphasizes that organization is not merely a storage activity but an essential component of sensemaking (Orin and Hoeber 2025). By enabling users to categorize and structure </w:t>
      </w:r>
      <w:r>
        <w:rPr>
          <w:rFonts w:ascii="Aptos" w:eastAsia="Aptos" w:hAnsi="Aptos" w:cs="Aptos"/>
          <w:sz w:val="24"/>
          <w:szCs w:val="24"/>
        </w:rPr>
        <w:lastRenderedPageBreak/>
        <w:t>information during search, interfaces can reduce the mental effort required to remember document relationships and support later synthesis.</w:t>
      </w:r>
    </w:p>
    <w:p w14:paraId="061A7B47"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SearchPath demonstrates working memory scaffolding designed explicitly around a target population's cognitive profile rather than a generic user (Seihoon et al. 2026). Its authors frame the interface's timeline, tagging, and colour-coded workspaces as offloading working memory so that a limited cognitive resource otherwise consumed by reading can instead be directed toward evaluating relevance, a design rationale grounded directly in evidence that reading itself is working-memory-intensive for students with dyslexia. This is a useful contrast with the present thesis: SearchPath externalizes memory demands primarily through persistent, searcher-authored artifacts, without generative summarization, whereas the system proposed here investigates whether GenAI-generated externalizations can provide comparable or greater working memory relief without removing the searcher-authored provenance that SearchPath shows to be valuable.</w:t>
      </w:r>
    </w:p>
    <w:p w14:paraId="62DBB9F5"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These approaches reflect Norman's cognitive artifact perspective, where external structures serve as extensions of human thinking rather than replacements for cognition (Norman 1993). Effective working memory scaffolding therefore requires interfaces that preserve user agency while reducing unnecessary memory burden.</w:t>
      </w:r>
    </w:p>
    <w:p w14:paraId="53F3CD84" w14:textId="77777777" w:rsidR="00933170" w:rsidRDefault="00000000" w:rsidP="61044F4B">
      <w:pPr>
        <w:pStyle w:val="Heading3"/>
        <w:spacing w:before="220" w:after="140"/>
        <w:rPr>
          <w:rFonts w:ascii="Aptos" w:eastAsia="Aptos" w:hAnsi="Aptos" w:cs="Aptos"/>
          <w:b/>
          <w:bCs/>
          <w:i/>
          <w:iCs/>
          <w:sz w:val="28"/>
          <w:szCs w:val="28"/>
        </w:rPr>
      </w:pPr>
      <w:r>
        <w:rPr>
          <w:rFonts w:ascii="Aptos" w:eastAsia="Aptos" w:hAnsi="Aptos" w:cs="Aptos"/>
          <w:b/>
          <w:bCs/>
          <w:i/>
          <w:iCs/>
        </w:rPr>
        <w:t>Visualization for Working Memory Scaffolding</w:t>
      </w:r>
    </w:p>
    <w:p w14:paraId="7527651F"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Visualization provides another mechanism for reducing working memory demands by transforming hidden relationships and historical information into perceptually available representations. Instead of requiring users to mentally reconstruct connections between queries, documents, and concepts, visualization allows these relationships to remain continuously accessible.</w:t>
      </w:r>
    </w:p>
    <w:p w14:paraId="068C0111"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Search Timeline approaches demonstrate how temporal visualization can support memory reconstruction during exploratory search. Hoeber et al. developed Search Timelines to visualize previous search activities, enabling users returning after interruptions to review their previous exploration path and determine where to continue (Hoeber, Islam, et al. 2024). This approach directly addresses the problem of reconstructing prior cognitive states after periods away from a search task.</w:t>
      </w:r>
    </w:p>
    <w:p w14:paraId="003257B6"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Similarly, visual relationship techniques such as Visual Keyword/Result Linking expose connections between search terms and retrieved documents, reducing the need for users to remember complex relationships internally (Hoeber, Pirmoradi, et al. 2024). Earlier work by Hoeber and Shukla showed that visually linked keywords can support exploratory browsing by revealing alternative exploration pathways that may not be obvious from traditional ranked lists (Hoeber and Shukla 2021).</w:t>
      </w:r>
    </w:p>
    <w:p w14:paraId="3F3E5E32"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lastRenderedPageBreak/>
        <w:t>From a cognitive perspective, these visual systems function as external memory structures. Distributed cognition theory suggests that external representations can participate in cognitive processes by allowing information processing to occur across both the individual and the environment (Hutchins 1995). However, visualization-based scaffolding remains primarily supportive rather than interpretive: it makes information available but leaves meaning construction and decision making to the user.</w:t>
      </w:r>
    </w:p>
    <w:p w14:paraId="6A50A877" w14:textId="49103EF1" w:rsidR="61044F4B" w:rsidRDefault="61044F4B" w:rsidP="61044F4B">
      <w:pPr>
        <w:pStyle w:val="Heading3"/>
        <w:spacing w:before="220" w:after="140"/>
        <w:rPr>
          <w:rFonts w:ascii="Aptos" w:eastAsia="Aptos" w:hAnsi="Aptos" w:cs="Aptos"/>
          <w:b/>
          <w:bCs/>
          <w:i/>
          <w:iCs/>
        </w:rPr>
      </w:pPr>
    </w:p>
    <w:p w14:paraId="11B6A8C2" w14:textId="77777777" w:rsidR="00933170" w:rsidRDefault="00000000" w:rsidP="61044F4B">
      <w:pPr>
        <w:pStyle w:val="Heading3"/>
        <w:spacing w:before="220" w:after="140"/>
        <w:rPr>
          <w:rFonts w:ascii="Aptos" w:eastAsia="Aptos" w:hAnsi="Aptos" w:cs="Aptos"/>
          <w:b/>
          <w:bCs/>
          <w:i/>
          <w:iCs/>
          <w:sz w:val="28"/>
          <w:szCs w:val="28"/>
        </w:rPr>
      </w:pPr>
      <w:r>
        <w:rPr>
          <w:rFonts w:ascii="Aptos" w:eastAsia="Aptos" w:hAnsi="Aptos" w:cs="Aptos"/>
          <w:b/>
          <w:bCs/>
          <w:i/>
          <w:iCs/>
        </w:rPr>
        <w:t>Generative AI for Working Memory Scaffolding</w:t>
      </w:r>
    </w:p>
    <w:p w14:paraId="26B29630"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Recent developments in generative AI introduce new possibilities for supporting working memory by allowing systems to maintain contextual information, summarize previous activities, and provide adaptive assistance during complex tasks. Unlike traditional interfaces that store explicit artifacts, LLM-based systems can maintain higher-level representations of goals, relationships, and intermediate understanding.</w:t>
      </w:r>
    </w:p>
    <w:p w14:paraId="1A951E4A"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An proposes the concept of a Cognitive Workspace, where an LLM maintains active memory representations of ongoing tasks and provides continuity across interruptions (An 2025). Such approaches align with cognitive artifact theories by treating AI systems as external cognitive structures that help users manage complex information. However, these approaches remain largely conceptual, and further empirical investigation is required to understand how AI-maintained memory affects human reasoning.</w:t>
      </w:r>
    </w:p>
    <w:p w14:paraId="171F5FE0"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In exploratory search, Katz et al. introduced Knowledge Navigator, an LLM-guided browsing framework that organizes scientific literature into meaningful structures to support exploration of complex information spaces (Katz et al. 2024). Similarly, Search+Chat integrates conversational AI with search interfaces to support learning-oriented search activities by helping users identify possible directions and continue exploration when encountering difficulties (Yang et al. 2025).</w:t>
      </w:r>
    </w:p>
    <w:p w14:paraId="3AF1838E"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Momeni and Hoeber offer direct behavioural evidence for this mechanism: participants with access to AI-generated cluster and workspace summaries skimmed rather than reread saved resources when resuming a task after a one-week interruption, reaching the fastest task-reacquaintance times of any condition, with the largest gains when summaries were additionally grounded in the searcher's own passage highlights (Momeni and Hoeber 2026). This indicates that GenAI-generated summarization can reduce the working memory burden of task resumption specifically, as distinct from reducing working memory burden during the initial exploration itself, a distinction the present thesis maintains when justifying individual design features.</w:t>
      </w:r>
    </w:p>
    <w:p w14:paraId="0A36B372"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lastRenderedPageBreak/>
        <w:t>Despite these opportunities, GenAI-based working memory support introduces risks related to cognitive offloading. Risko and Gilbert argue that while external tools can reduce cognitive effort, excessive reliance on external systems may change how users encode and retrieve knowledge (Risko and Gilbert 2016). In exploratory learning contexts, completely delegating organization and synthesis to AI may reduce opportunities for users to develop their own understanding.</w:t>
      </w:r>
    </w:p>
    <w:p w14:paraId="13F953F3"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Recent studies therefore emphasize the importance of maintaining human agency. Jamshed et al. highlight that neurodivergent students often prefer AI systems that provide flexible assistance rather than replace their personal workflows (Jamshed et al. 2025). Similarly, Zhu et al. demonstrate that GenAI scaffolding can support task management and metacognition when systems provide prompts and awareness rather than automatically controlling the user's process (Zhu et al. 2026).</w:t>
      </w:r>
    </w:p>
    <w:p w14:paraId="74873F6E" w14:textId="789D5E64" w:rsidR="00933170" w:rsidRDefault="00000000" w:rsidP="008631FF">
      <w:pPr>
        <w:spacing w:after="200" w:line="276" w:lineRule="auto"/>
        <w:rPr>
          <w:rFonts w:ascii="Aptos" w:eastAsia="Aptos" w:hAnsi="Aptos" w:cs="Aptos"/>
          <w:sz w:val="28"/>
          <w:szCs w:val="28"/>
        </w:rPr>
      </w:pPr>
      <w:r>
        <w:rPr>
          <w:rFonts w:ascii="Aptos" w:eastAsia="Aptos" w:hAnsi="Aptos" w:cs="Aptos"/>
          <w:sz w:val="24"/>
          <w:szCs w:val="24"/>
        </w:rPr>
        <w:t>Together, these findings suggest that GenAI-based working memory scaffolding should focus on adaptive externalization: maintaining important context, providing retrieval cues, and supporting reflection while allowing users to remain active participants in sensemaking.</w:t>
      </w:r>
    </w:p>
    <w:p w14:paraId="2682ED34" w14:textId="77777777" w:rsidR="00933170" w:rsidRDefault="00000000" w:rsidP="61044F4B">
      <w:pPr>
        <w:pStyle w:val="Heading2"/>
        <w:spacing w:before="280" w:after="160"/>
        <w:rPr>
          <w:rFonts w:ascii="Aptos" w:eastAsia="Aptos" w:hAnsi="Aptos" w:cs="Aptos"/>
          <w:b/>
          <w:bCs/>
          <w:sz w:val="32"/>
          <w:szCs w:val="32"/>
        </w:rPr>
      </w:pPr>
      <w:r>
        <w:rPr>
          <w:rFonts w:ascii="Aptos" w:eastAsia="Aptos" w:hAnsi="Aptos" w:cs="Aptos"/>
          <w:b/>
          <w:bCs/>
          <w:sz w:val="28"/>
          <w:szCs w:val="28"/>
        </w:rPr>
        <w:t>Summary and Research Gap</w:t>
      </w:r>
    </w:p>
    <w:p w14:paraId="0341F5C4"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Existing research demonstrates that exploratory search involves substantial cognitive demands across three interconnected dimensions: metacognition, cross-session continuity, and working memory management. Prior studies have shown that searchers must regulate their own strategies, maintain awareness of progress, and reconstruct previous understanding when returning to interrupted tasks (Crescenzi et al. 2021; Gomes et al. 2022; Choi and Arguello 2025).</w:t>
      </w:r>
    </w:p>
    <w:p w14:paraId="7F21004B"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Research on metacognitive scaffolding has developed effective interface and visualization techniques that help users organize information and monitor progress (Crescenzi et al. 2021; Hoeber, Pirmoradi, et al. 2024). Cross-session search research has demonstrated the importance of preserving contextual continuity beyond simple document storage, leading to approaches such as Search Timelines that externalize previous search activity (Hoeber, Islam, et al. 2024; Gomes et al. 2022). Working memory research has further shown that cognitive abilities influence how users interact with these supports and that effective systems must accommodate individual differences (Choi and Arguello 2025; Choi et al. 2023).</w:t>
      </w:r>
    </w:p>
    <w:p w14:paraId="50CD2FD9"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 xml:space="preserve">Recent advances in generative AI create opportunities to provide more adaptive cognitive scaffolding. LLM-based systems can maintain contextual information, generate reflective </w:t>
      </w:r>
      <w:r>
        <w:rPr>
          <w:rFonts w:ascii="Aptos" w:eastAsia="Aptos" w:hAnsi="Aptos" w:cs="Aptos"/>
          <w:sz w:val="24"/>
          <w:szCs w:val="24"/>
        </w:rPr>
        <w:lastRenderedPageBreak/>
        <w:t>prompts, and assist users in navigating complex information spaces (An 2025; Yang et al. 2025; Zhu et al. 2026). Two recent studies come closest to integrating these capabilities empirically. Momeni and Hoeber combine embedding-based organization, searcher-authored passage highlighting, and AI-generated summarization into a single aggregated-search workspace and show, with a validated instrument, that the combination outperforms any single capability for metacognitive planning, monitoring, and evaluation as well as cross-session task resumption (Momeni and Hoeber 2026). However, their study targets a general population using a digital humanities aggregated-search task, and does not consider working memory or attention as an individual-difference or accessibility dimension. Conversely, Seihoon et al.'s SearchPath is designed explicitly around the working memory, reading, and attention demands of students with dyslexia, but relies on searcher-authored tagging and a persistent timeline rather than GenAI-generated organization or summarization, and has not yet been evaluated with its target population (Seihoon et al. 2026).</w:t>
      </w:r>
    </w:p>
    <w:p w14:paraId="65AE48BB"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Furthermore, a central unresolved challenge concerns the balance between assistance and agency. Cognitive theories emphasize that external supports should augment human reasoning rather than replace it (Norman 1993; Hutchins 1995). Excessive automation may encourage cognitive offloading that reduces users' engagement with reflection, evaluation, and knowledge construction (Risko and Gilbert 2016). Momeni and Hoeber's finding that grounding AI summaries in searcher-selected highlights preserves metacognitive engagement offers one concrete strategy for managing this tension, but it has not been tested with searchers who have reduced working memory capacity, for whom the assistance-agency balance may need to be struck differently (Momeni and Hoeber 2026; Choi and Arguello 2025).</w:t>
      </w:r>
    </w:p>
    <w:p w14:paraId="654CDEFA"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This research addresses this gap by investigating how LLM-based cognitive scaffolding can support exploratory search across sessions by integrating three complementary capabilities: (1) maintaining metacognitive awareness of search goals and progress, (2) preserving contextual continuity across interrupted sessions, and (3) reducing unnecessary working memory demands through adaptive external representations, in a design that is explicitly informed by individual differences in working memory capacity rather than assuming a uniform user. Rather than replacing the searcher's reasoning process, the proposed system explores how GenAI can serve as a collaborative cognitive partner that enhances human sensemaking while preserving user agency, extending the highlight-grounded summarization strategy validated by Momeni and Hoeber (2026) with the accessibility-motivated design sensibility demonstrated by Seihoon et al. (2026).</w:t>
      </w:r>
    </w:p>
    <w:p w14:paraId="4A03A753" w14:textId="77777777" w:rsidR="00933170" w:rsidRDefault="00000000" w:rsidP="61044F4B">
      <w:pPr>
        <w:pStyle w:val="Heading1"/>
        <w:spacing w:before="360" w:after="200"/>
        <w:rPr>
          <w:rFonts w:ascii="Aptos" w:eastAsia="Aptos" w:hAnsi="Aptos" w:cs="Aptos"/>
          <w:b/>
          <w:bCs/>
          <w:sz w:val="36"/>
          <w:szCs w:val="36"/>
        </w:rPr>
      </w:pPr>
      <w:r>
        <w:rPr>
          <w:rFonts w:ascii="Aptos" w:eastAsia="Aptos" w:hAnsi="Aptos" w:cs="Aptos"/>
          <w:b/>
          <w:bCs/>
        </w:rPr>
        <w:t>Research Approach</w:t>
      </w:r>
    </w:p>
    <w:p w14:paraId="1077FFF4"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lastRenderedPageBreak/>
        <w:t>The proposed research adopts a design-oriented methodology followed by a user study. The work proceeds in three phases: (1) iterative interface design that externalizes the structural map of an information space and supports metacognitive activities (planning, monitoring, and evaluating), with each design feature justified against a specific problem or literature finding rather than general usability preference; (2) implementation of a working prototype that integrates contextual embedding-based clustering with LLM-generated thematic labels to scaffold cross-session exploratory search; and (3) a controlled user study comparing the proposed scaffolding interface against a baseline. The clustering and summarization components in phase (2) build directly on the interactive cluster refinement and highlight-grounded AI summarization approach validated by Momeni and Hoeber (2026), while the interface's accessibility considerations for working memory and attention draw on the design rationale demonstrated in Seihoon et al.'s SearchPath (2026); the specific technical differences between this prototype and each precedent will be documented as part of the feature-to-problem audit (see Task List). Unlike Momeni and Hoeber's interactive cluster refinement, which organizes and labels resources after they have been saved using lightweight extractive methods (Momeni and Hoeber 2026), the sub-goal and query generation described in the Prototype Design Overview below occur prospectively, before search begins; this thesis therefore uses full LLM generation at the planning stage rather than the extractive labeling validated for post-hoc organization, and the feature-to-problem audit will treat these as addressing different points in the search process rather than as directly comparable techniques. The study will probe how the scaffolding influences search behavior, sensemaking, and perceived cognitive load, with particular attention to differences across individuals with varying working memory capacity.</w:t>
      </w:r>
    </w:p>
    <w:p w14:paraId="7096BD5F" w14:textId="77777777" w:rsidR="00933170" w:rsidRDefault="00000000" w:rsidP="61044F4B">
      <w:pPr>
        <w:pStyle w:val="Heading1"/>
        <w:spacing w:before="360" w:after="200"/>
        <w:rPr>
          <w:rFonts w:ascii="Aptos" w:eastAsia="Aptos" w:hAnsi="Aptos" w:cs="Aptos"/>
          <w:b/>
          <w:bCs/>
          <w:sz w:val="36"/>
          <w:szCs w:val="36"/>
        </w:rPr>
      </w:pPr>
      <w:r>
        <w:rPr>
          <w:rFonts w:ascii="Aptos" w:eastAsia="Aptos" w:hAnsi="Aptos" w:cs="Aptos"/>
          <w:b/>
          <w:bCs/>
        </w:rPr>
        <w:t>Prototype Design Overview</w:t>
      </w:r>
    </w:p>
    <w:p w14:paraId="59119028"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 xml:space="preserve">The proposed prototype, MINDS (Metacognitive Interface for Navigating Directions &amp; Scaffolding), operationalizes the design principles reviewed above through five linked mechanisms. Each mechanism below is stated with the specific regulatory activity and literature finding it targets, consistent with the feature-to-problem mapping this thesis commits to throughout, and is illustrated by returning to Jamie Chen, the persona introduced in the Illustrative Scenario above. The design targets working memory capacity as a continuous dimension of individual difference (Choi and Arguello 2025) rather than a single diagnosis; Jamie's dyslexia is one documented case where working memory and attention constraints are particularly pronounced (Seihoon et al. 2026; Jamshed et al. 2025; Zhu et al. 2026), not a claim that the system is restricted to users like Jamie. Whether the planned user study screens for working memory capacity directly or recruits specific </w:t>
      </w:r>
      <w:r>
        <w:rPr>
          <w:rFonts w:ascii="Aptos" w:eastAsia="Aptos" w:hAnsi="Aptos" w:cs="Aptos"/>
          <w:sz w:val="24"/>
          <w:szCs w:val="24"/>
        </w:rPr>
        <w:lastRenderedPageBreak/>
        <w:t>diagnosed populations remains a study-design decision for the Fall 2026 ethics application (see Task List).</w:t>
      </w:r>
    </w:p>
    <w:p w14:paraId="1798950D" w14:textId="77777777" w:rsidR="00933170" w:rsidRDefault="00000000" w:rsidP="61044F4B">
      <w:pPr>
        <w:pStyle w:val="Heading3"/>
        <w:spacing w:before="220" w:after="140"/>
        <w:rPr>
          <w:rFonts w:ascii="Aptos" w:eastAsia="Aptos" w:hAnsi="Aptos" w:cs="Aptos"/>
          <w:b/>
          <w:bCs/>
          <w:i/>
          <w:iCs/>
          <w:sz w:val="28"/>
          <w:szCs w:val="28"/>
        </w:rPr>
      </w:pPr>
      <w:r>
        <w:rPr>
          <w:rFonts w:ascii="Aptos" w:eastAsia="Aptos" w:hAnsi="Aptos" w:cs="Aptos"/>
          <w:b/>
          <w:bCs/>
          <w:i/>
          <w:iCs/>
        </w:rPr>
        <w:t>Planning: Goal Decomposition</w:t>
      </w:r>
    </w:p>
    <w:p w14:paraId="4917A048"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At the start of a project, the searcher enters a search goal, what they already know, and what they want to find out. For Jamie, this means entering the assigned topic (how green spaces affect well-being), along with what Jamie already knows from the course module and what remains unclear. The system then uses an LLM to auto-generate a set of candidate search directions (sub-goals) — for Jamie, an initial set such as physical health benefits, mental health benefits, and community access — from which the searcher selects and to which they can add further directions; this is also where Jamie can add the policy dimension once it becomes apparent partway through the search, without having to reconstruct the original goal structure from memory first. This externalizes the goal-setting and strategy-identification activity that Crescenzi et al. treat as part of planning (Crescenzi et al. 2021), while reducing the working-memory cost of unaided goal decomposition, directly addressing evidence that working memory capacity constrains how searchers plan and structure complex tasks (Choi and Arguello 2025). This is also where the Implementation Note below applies Urgo and Arguello's finding that the quality of a searcher's self-set goals shapes downstream outcomes, as supporting evidence for investing in a capable generative model at this specific step (Urgo and Arguello 2024).</w:t>
      </w:r>
    </w:p>
    <w:p w14:paraId="2AC6BBFB" w14:textId="271061E5" w:rsidR="61044F4B" w:rsidRDefault="61044F4B" w:rsidP="61044F4B">
      <w:pPr>
        <w:pStyle w:val="Heading3"/>
        <w:spacing w:before="220" w:after="140"/>
        <w:rPr>
          <w:rFonts w:ascii="Aptos" w:eastAsia="Aptos" w:hAnsi="Aptos" w:cs="Aptos"/>
          <w:b/>
          <w:bCs/>
          <w:i/>
          <w:iCs/>
        </w:rPr>
      </w:pPr>
    </w:p>
    <w:p w14:paraId="380BA62F" w14:textId="77777777" w:rsidR="00933170" w:rsidRDefault="00000000" w:rsidP="61044F4B">
      <w:pPr>
        <w:pStyle w:val="Heading3"/>
        <w:spacing w:before="220" w:after="140"/>
        <w:rPr>
          <w:rFonts w:ascii="Aptos" w:eastAsia="Aptos" w:hAnsi="Aptos" w:cs="Aptos"/>
          <w:b/>
          <w:bCs/>
          <w:i/>
          <w:iCs/>
          <w:sz w:val="28"/>
          <w:szCs w:val="28"/>
        </w:rPr>
      </w:pPr>
      <w:r>
        <w:rPr>
          <w:rFonts w:ascii="Aptos" w:eastAsia="Aptos" w:hAnsi="Aptos" w:cs="Aptos"/>
          <w:b/>
          <w:bCs/>
          <w:i/>
          <w:iCs/>
        </w:rPr>
        <w:t>Planning: Query Generation</w:t>
      </w:r>
    </w:p>
    <w:p w14:paraId="30D7652F"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For each selected direction, the system generates candidate search queries rather than requiring the searcher to formulate them unaided. This directly targets what Jamie experiences in the Illustrative Scenario above: rereading and rewording a query several times before feeling confident it is spelled and worded correctly. This is a specific, previously documented difficulty: searchers with dyslexia have been shown to struggle with spelling and query formulation during exploratory search, a difficulty that consumes working memory before any evaluation of results can begin (Seihoon et al. 2026).</w:t>
      </w:r>
    </w:p>
    <w:p w14:paraId="0700261B" w14:textId="77777777" w:rsidR="00933170" w:rsidRDefault="00000000" w:rsidP="61044F4B">
      <w:pPr>
        <w:pStyle w:val="Heading3"/>
        <w:spacing w:before="220" w:after="140"/>
        <w:rPr>
          <w:rFonts w:ascii="Aptos" w:eastAsia="Aptos" w:hAnsi="Aptos" w:cs="Aptos"/>
          <w:b/>
          <w:bCs/>
          <w:i/>
          <w:iCs/>
          <w:sz w:val="28"/>
          <w:szCs w:val="28"/>
        </w:rPr>
      </w:pPr>
      <w:r>
        <w:rPr>
          <w:rFonts w:ascii="Aptos" w:eastAsia="Aptos" w:hAnsi="Aptos" w:cs="Aptos"/>
          <w:b/>
          <w:bCs/>
          <w:i/>
          <w:iCs/>
        </w:rPr>
        <w:t>Monitoring and Evaluation: Relevance Visualization on the Results Page</w:t>
      </w:r>
    </w:p>
    <w:p w14:paraId="2EB2CD3A"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 xml:space="preserve">Within the search results page, each result displays a relevance category — Excellent Match, Good Match, Possible Match, or No Match — tied to the active search direction, encoded with increasing colour intensity from pale to saturated green, along with matched keyword tags. This categorical encoding is a deliberate design choice rather than a simplification of a numeric score: a percentage still requires the searcher to read and interpret a number, and numbers impose their own reading and comparison cost on top of </w:t>
      </w:r>
      <w:r>
        <w:rPr>
          <w:rFonts w:ascii="Aptos" w:eastAsia="Aptos" w:hAnsi="Aptos" w:cs="Aptos"/>
          <w:sz w:val="24"/>
          <w:szCs w:val="24"/>
        </w:rPr>
        <w:lastRenderedPageBreak/>
        <w:t>the cost of reading the result itself. Where Jamie would otherwise need to read further into each of a dozen results to judge its relevance to a sub-goal, as in the Illustrative Scenario, the category label and colour let Jamie interpret probable relevance at a glance without reading the full result or decoding a numeric score. This is a visualization technique, not a memory-retrieval cue in the encoding-specificity sense discussed under Cross-Session Reacquaintance below, and it reduces the within-session working memory cost of evaluation and monitoring more generally (Choi and Arguello 2025; Crescenzi et al. 2021). It extends prior visualization-based scaffolding that transforms hidden relationships into perceptually available representations, such as Visual Keyword/Result Linking (Hoeber, Pirmoradi, et al. 2024) and visually linked keywords (Hoeber and Shukla 2021), to a compact categorical-and-colour encoding of relevance. Consistent with the design philosophy adopted throughout this review, the indicator informs judgment rather than replacing it: the searcher still decides whether to save each result.</w:t>
      </w:r>
    </w:p>
    <w:p w14:paraId="26576CDA" w14:textId="77777777" w:rsidR="00933170" w:rsidRDefault="00000000" w:rsidP="61044F4B">
      <w:pPr>
        <w:pStyle w:val="Heading3"/>
        <w:spacing w:before="220" w:after="140"/>
        <w:rPr>
          <w:rFonts w:ascii="Aptos" w:eastAsia="Aptos" w:hAnsi="Aptos" w:cs="Aptos"/>
          <w:b/>
          <w:bCs/>
          <w:i/>
          <w:iCs/>
          <w:sz w:val="28"/>
          <w:szCs w:val="28"/>
        </w:rPr>
      </w:pPr>
      <w:r>
        <w:rPr>
          <w:rFonts w:ascii="Aptos" w:eastAsia="Aptos" w:hAnsi="Aptos" w:cs="Aptos"/>
          <w:b/>
          <w:bCs/>
          <w:i/>
          <w:iCs/>
        </w:rPr>
        <w:t>Organization: Goal-Linked Saving</w:t>
      </w:r>
    </w:p>
    <w:p w14:paraId="34B10231"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When a searcher saves a result, it is filed directly under the search direction through which it was found, rather than requiring the searcher to invent or recall a category or tag, as in OrgBox or SearchPath (Crescenzi et al. 2021; Seihoon et al. 2026). For Jamie, a source on tree canopy and mental health is filed under the mental-health-benefits direction automatically, rather than requiring Jamie to pause and decide on a label while still absorbing the source's content. Because the organizational scheme is derived from the goal decomposition established during planning, this ties the monitoring of saved evidence directly back to the searcher's original sub-goals rather than introducing a separate, freeform organizational task.</w:t>
      </w:r>
    </w:p>
    <w:p w14:paraId="61EECA5D" w14:textId="77777777" w:rsidR="00933170" w:rsidRDefault="00000000" w:rsidP="61044F4B">
      <w:pPr>
        <w:pStyle w:val="Heading3"/>
        <w:spacing w:before="220" w:after="140"/>
        <w:rPr>
          <w:rFonts w:ascii="Aptos" w:eastAsia="Aptos" w:hAnsi="Aptos" w:cs="Aptos"/>
          <w:b/>
          <w:bCs/>
          <w:i/>
          <w:iCs/>
          <w:sz w:val="28"/>
          <w:szCs w:val="28"/>
        </w:rPr>
      </w:pPr>
      <w:r>
        <w:rPr>
          <w:rFonts w:ascii="Aptos" w:eastAsia="Aptos" w:hAnsi="Aptos" w:cs="Aptos"/>
          <w:b/>
          <w:bCs/>
          <w:i/>
          <w:iCs/>
        </w:rPr>
        <w:t>Evaluation: Suggested Next Step</w:t>
      </w:r>
    </w:p>
    <w:p w14:paraId="0F3EBB20"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 xml:space="preserve">On returning to a project, or when a search direction appears exhausted, the searcher is offered an explicit choice to continue the current direction, switch to a different one, or start a new project, informed by a per-direction coverage indicator that combines system-tracked counts (saved, opened, unopened) with a searcher-supplied self-rating (well-covered, some but thin, barely started). For Jamie, this replaces the effortful task of mentally tallying how many sources have been found for the green-space policy direction versus the others with a single glance at each direction's coverage, so the decision to keep searching, switch focus, or stop is made from an externalized summary rather than from memory. This is proposed as this thesis's own concrete mechanism for evaluation support, the specific gap that the literature reviewed above does not yet ground empirically (see Note on Scope). Its effectiveness at reducing working memory demand without </w:t>
      </w:r>
      <w:r>
        <w:rPr>
          <w:rFonts w:ascii="Aptos" w:eastAsia="Aptos" w:hAnsi="Aptos" w:cs="Aptos"/>
          <w:sz w:val="24"/>
          <w:szCs w:val="24"/>
        </w:rPr>
        <w:lastRenderedPageBreak/>
        <w:t>imposing a new decision burden of its own will need to be established through the planned user study rather than assumed.</w:t>
      </w:r>
    </w:p>
    <w:p w14:paraId="611502BE" w14:textId="77777777" w:rsidR="00933170" w:rsidRDefault="00000000" w:rsidP="61044F4B">
      <w:pPr>
        <w:pStyle w:val="Heading3"/>
        <w:spacing w:before="220" w:after="140"/>
        <w:rPr>
          <w:rFonts w:ascii="Aptos" w:eastAsia="Aptos" w:hAnsi="Aptos" w:cs="Aptos"/>
          <w:b/>
          <w:bCs/>
          <w:i/>
          <w:iCs/>
          <w:sz w:val="28"/>
          <w:szCs w:val="28"/>
        </w:rPr>
      </w:pPr>
      <w:r>
        <w:rPr>
          <w:rFonts w:ascii="Aptos" w:eastAsia="Aptos" w:hAnsi="Aptos" w:cs="Aptos"/>
          <w:b/>
          <w:bCs/>
          <w:i/>
          <w:iCs/>
        </w:rPr>
        <w:t>Cross-Session Reacquaintance: Recap and Resume</w:t>
      </w:r>
    </w:p>
    <w:p w14:paraId="0D19DE06"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When Jamie returns after the two-day interruption described in the Illustrative Scenario, the Recap view provides the retrieval cues this thesis grounds in the encoding specificity principle: Tulving and Thomson show that retrieval succeeds when the cues present at encoding are reinstated at the time of retrieval, rather than when the to-be-remembered information is presented on its own (Tulving and Thomson 1973). The Recap view reinstates the elements that were present when Jamie originally encoded the search activity: an Overall summary restates the search goal and each sub-goal's coverage relative to what was originally planned; Last Actions restates the specific query, direction, and result last engaged with; and the session-by-session history restates what was saved, reviewed, and why the prior session stopped. It is the combination of these three, rather than any single element, that reinstates the goal structure, the specific activity, and the stopping context present at encoding, which is what the principle predicts Jamie needs in order to reconstruct that prior mental state, rather than only regaining access to the sources already saved. A condensed version of the same cues appears in the resumption prompt shown when Jamie returns to the tool. This design choice follows directly from evidence that reducing reliance on dense text benefits searchers with dyslexia specifically (Seihoon et al. 2026), and extends the task-resumption function validated by Momeni and Hoeber's timeline and summary mechanisms to a compact, cue-based format (Momeni and Hoeber 2026).</w:t>
      </w:r>
    </w:p>
    <w:p w14:paraId="0DD6840F" w14:textId="77777777" w:rsidR="00933170" w:rsidRDefault="00000000" w:rsidP="61044F4B">
      <w:pPr>
        <w:pStyle w:val="Heading3"/>
        <w:spacing w:before="220" w:after="140"/>
        <w:rPr>
          <w:rFonts w:ascii="Aptos" w:eastAsia="Aptos" w:hAnsi="Aptos" w:cs="Aptos"/>
          <w:b/>
          <w:bCs/>
          <w:i/>
          <w:iCs/>
          <w:sz w:val="28"/>
          <w:szCs w:val="28"/>
        </w:rPr>
      </w:pPr>
      <w:r>
        <w:rPr>
          <w:rFonts w:ascii="Aptos" w:eastAsia="Aptos" w:hAnsi="Aptos" w:cs="Aptos"/>
          <w:b/>
          <w:bCs/>
          <w:i/>
          <w:iCs/>
        </w:rPr>
        <w:t>Implementation Note: Matching AI Techniques to Each Task</w:t>
      </w:r>
    </w:p>
    <w:p w14:paraId="48E39BA0"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The four AI-driven components of MINDS require different underlying techniques rather than a single model applied uniformly, and this distinction is treated as a design decision in its own right rather than an implementation detail to be settled later. Sub-goal generation shapes the planning step that Urgo and Arguello show influences a searcher's downstream outcomes (Urgo and Arguello 2024), and therefore warrants a capable generative model: for a searcher like Jamie, a shallow or generic set of sub-goals at this step could mean a dimension of the topic, such as the policy angle in the Illustrative Scenario, never surfaces as an option to add, undermining the goal-setting activity the rest of the design depends on. Query generation is a narrower, more mechanical task and can use a lighter, faster generative model without a meaningful loss of quality, since it does not carry the same downstream weight.</w:t>
      </w:r>
    </w:p>
    <w:p w14:paraId="7BFFAD20"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 xml:space="preserve">The relevance category described under Monitoring and Evaluation is deliberately not implemented as a generative model call. Asking a generative model to classify every result </w:t>
      </w:r>
      <w:r>
        <w:rPr>
          <w:rFonts w:ascii="Aptos" w:eastAsia="Aptos" w:hAnsi="Aptos" w:cs="Aptos"/>
          <w:sz w:val="24"/>
          <w:szCs w:val="24"/>
        </w:rPr>
        <w:lastRenderedPageBreak/>
        <w:t>against every active sub-goal is costly at the volume this feature requires, since it needs one comparison per result per active sub-goal, and produces judgments that are inconsistent and poorly calibrated across results. Instead, this component uses text embeddings: the sub-goal description and each result are separately embedded, and the cosine similarity between them is mapped to one of the four relevance categories (Excellent Match, Good Match, Possible Match, No Match) using similarity thresholds. Because raw cosine similarity scores for semantically related text typically cluster within a narrow numeric range rather than spanning the full scale, the thresholds are calibrated within each result set rather than fixed as absolute cutoffs, so that the four categories remain meaningfully distinct rather than collapsing into one or two categories regardless of true relevance. The specific threshold values have not yet been established and are treated as provisional: they will need to be justified through experimentation, most likely during the heuristic evaluation phase (see Task List), rather than assumed from the raw similarity distribution alone.</w:t>
      </w:r>
    </w:p>
    <w:p w14:paraId="0A33DE36"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The Overall, Last Actions, and Sessions summaries on the Recap page introduce a distinct risk: because they report specific counts, deltas, and session details, an unconstrained generative model could misstate a number it was only meant to describe. To avoid this, all counts, deltas, and coverage figures are computed deterministically outside the generative model, and the model is used only to phrase these already-resolved values into natural sentences, never to calculate them; this mirrors the structured, low-temperature summarization approach that Momeni and Hoeber validate for their AI-generated workspace summaries (Momeni and Hoeber 2026). This separation between computation and phrasing is treated as a testable implementation requirement rather than an assumption, to be verified during implementation as the prototype is built.</w:t>
      </w:r>
    </w:p>
    <w:p w14:paraId="7A1EB1E4" w14:textId="77777777" w:rsidR="00933170" w:rsidRDefault="00000000" w:rsidP="61044F4B">
      <w:pPr>
        <w:pStyle w:val="Heading1"/>
        <w:spacing w:before="360" w:after="200"/>
        <w:rPr>
          <w:rFonts w:ascii="Aptos Display" w:eastAsia="Aptos Display" w:hAnsi="Aptos Display" w:cs="Aptos Display"/>
          <w:b/>
          <w:bCs/>
        </w:rPr>
      </w:pPr>
      <w:r>
        <w:rPr>
          <w:rFonts w:ascii="Aptos Display" w:eastAsia="Aptos Display" w:hAnsi="Aptos Display" w:cs="Aptos Display"/>
          <w:b/>
          <w:bCs/>
        </w:rPr>
        <w:t>Task List</w:t>
      </w:r>
    </w:p>
    <w:p w14:paraId="55275BEF" w14:textId="6A5BCA76"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 xml:space="preserve">As of this writing (September 2026), the literature review has been restructured around core metacognitive activities (planning, monitoring, and evaluating), revision has been dropped as a separate concern throughout, and the MINDS prototype concept has been designed across five linked mechanisms, each mapped to a specific literature finding and now illustrated through the Jamie Chen persona (see Prototype Design Overview). No code has been written yet. Following the group's usual sequence, this Third CS 900 proceeds in stages rather than as parallel tracks: an MVP is designed and built first, so the research questions can be checked against a working system before the study protocol is locked in; the study protocol and ethics application are then written to reflect how the MVP actually behaves; and, because REB review takes several weeks, that waiting period is used for heuristic evaluations and cognitive walkthroughs that debug and refine the interface rather </w:t>
      </w:r>
      <w:r>
        <w:rPr>
          <w:rFonts w:ascii="Aptos" w:eastAsia="Aptos" w:hAnsi="Aptos" w:cs="Aptos"/>
          <w:sz w:val="24"/>
          <w:szCs w:val="24"/>
        </w:rPr>
        <w:lastRenderedPageBreak/>
        <w:t>than left idle. Scope within the MVP build may need to be trimmed further if it runs behind schedule, since it is the first stage and everything downstream depends on it finishing.</w:t>
      </w:r>
    </w:p>
    <w:p w14:paraId="0E658FBA" w14:textId="77777777" w:rsidR="00933170" w:rsidRDefault="00000000" w:rsidP="61044F4B">
      <w:pPr>
        <w:pStyle w:val="Heading2"/>
        <w:spacing w:before="280" w:after="160"/>
        <w:rPr>
          <w:rFonts w:ascii="Aptos Display" w:eastAsia="Aptos Display" w:hAnsi="Aptos Display" w:cs="Aptos Display"/>
          <w:b/>
          <w:bCs/>
          <w:sz w:val="28"/>
          <w:szCs w:val="28"/>
        </w:rPr>
      </w:pPr>
      <w:r>
        <w:rPr>
          <w:rFonts w:ascii="Aptos Display" w:eastAsia="Aptos Display" w:hAnsi="Aptos Display" w:cs="Aptos Display"/>
          <w:b/>
          <w:bCs/>
          <w:sz w:val="28"/>
          <w:szCs w:val="28"/>
        </w:rPr>
        <w:t>Phase 1: MVP Design &amp; Build</w:t>
      </w:r>
    </w:p>
    <w:p w14:paraId="2A626574" w14:textId="77777777" w:rsidR="00933170" w:rsidRDefault="00000000" w:rsidP="61044F4B">
      <w:pPr>
        <w:pStyle w:val="Heading3"/>
        <w:spacing w:before="220" w:after="140"/>
        <w:rPr>
          <w:rFonts w:ascii="Aptos" w:eastAsia="Aptos" w:hAnsi="Aptos" w:cs="Aptos"/>
          <w:b/>
          <w:bCs/>
          <w:i/>
          <w:iCs/>
          <w:sz w:val="28"/>
          <w:szCs w:val="28"/>
        </w:rPr>
      </w:pPr>
      <w:r>
        <w:rPr>
          <w:rFonts w:ascii="Aptos" w:eastAsia="Aptos" w:hAnsi="Aptos" w:cs="Aptos"/>
          <w:b/>
          <w:bCs/>
          <w:i/>
          <w:iCs/>
        </w:rPr>
        <w:t>September 17 – October 5: Design Freeze</w:t>
      </w:r>
    </w:p>
    <w:p w14:paraId="1EA33182" w14:textId="77777777" w:rsidR="00933170" w:rsidRDefault="00000000" w:rsidP="61044F4B">
      <w:pPr>
        <w:pStyle w:val="ListParagraph"/>
        <w:numPr>
          <w:ilvl w:val="0"/>
          <w:numId w:val="1"/>
        </w:numPr>
        <w:spacing w:after="120" w:line="276" w:lineRule="auto"/>
        <w:rPr>
          <w:rFonts w:ascii="Aptos" w:eastAsia="Aptos" w:hAnsi="Aptos" w:cs="Aptos"/>
          <w:sz w:val="28"/>
          <w:szCs w:val="28"/>
        </w:rPr>
      </w:pPr>
      <w:r>
        <w:rPr>
          <w:rFonts w:ascii="Aptos" w:eastAsia="Aptos" w:hAnsi="Aptos" w:cs="Aptos"/>
          <w:sz w:val="24"/>
          <w:szCs w:val="24"/>
        </w:rPr>
        <w:t>Update wireframe screens and design documentation based on a final design architecture review, so coding does not start against a moving target.</w:t>
      </w:r>
    </w:p>
    <w:p w14:paraId="40F32329" w14:textId="77777777" w:rsidR="00933170" w:rsidRDefault="00000000" w:rsidP="61044F4B">
      <w:pPr>
        <w:pStyle w:val="ListParagraph"/>
        <w:numPr>
          <w:ilvl w:val="0"/>
          <w:numId w:val="1"/>
        </w:numPr>
        <w:spacing w:after="120" w:line="276" w:lineRule="auto"/>
        <w:rPr>
          <w:rFonts w:ascii="Aptos" w:eastAsia="Aptos" w:hAnsi="Aptos" w:cs="Aptos"/>
          <w:sz w:val="28"/>
          <w:szCs w:val="28"/>
        </w:rPr>
      </w:pPr>
      <w:r>
        <w:rPr>
          <w:rFonts w:ascii="Aptos" w:eastAsia="Aptos" w:hAnsi="Aptos" w:cs="Aptos"/>
          <w:sz w:val="24"/>
          <w:szCs w:val="24"/>
        </w:rPr>
        <w:t>Complete a feature-by-feature audit mapping every wireframe element to a specific problem or literature finding, noting where each feature diverges from Momeni and Hoeber's (2026) interactive cluster refinement and from Seihoon et al.'s (2026) SearchPath.</w:t>
      </w:r>
    </w:p>
    <w:p w14:paraId="4A98BECD" w14:textId="77777777" w:rsidR="00933170" w:rsidRDefault="00000000" w:rsidP="61044F4B">
      <w:pPr>
        <w:pStyle w:val="ListParagraph"/>
        <w:numPr>
          <w:ilvl w:val="0"/>
          <w:numId w:val="1"/>
        </w:numPr>
        <w:spacing w:after="120" w:line="276" w:lineRule="auto"/>
        <w:rPr>
          <w:rFonts w:ascii="Aptos" w:eastAsia="Aptos" w:hAnsi="Aptos" w:cs="Aptos"/>
          <w:sz w:val="28"/>
          <w:szCs w:val="28"/>
        </w:rPr>
      </w:pPr>
      <w:r>
        <w:rPr>
          <w:rFonts w:ascii="Aptos" w:eastAsia="Aptos" w:hAnsi="Aptos" w:cs="Aptos"/>
          <w:sz w:val="24"/>
          <w:szCs w:val="24"/>
        </w:rPr>
        <w:t>Ground the definition of "scaffolding" against the broader information retrieval literature, to strengthen the Related Work section rather than to inform the study protocol.</w:t>
      </w:r>
    </w:p>
    <w:p w14:paraId="60DC8F52" w14:textId="77777777" w:rsidR="00933170" w:rsidRDefault="00000000" w:rsidP="61044F4B">
      <w:pPr>
        <w:pStyle w:val="ListParagraph"/>
        <w:numPr>
          <w:ilvl w:val="0"/>
          <w:numId w:val="1"/>
        </w:numPr>
        <w:spacing w:after="120" w:line="276" w:lineRule="auto"/>
        <w:rPr>
          <w:rFonts w:ascii="Aptos" w:eastAsia="Aptos" w:hAnsi="Aptos" w:cs="Aptos"/>
          <w:sz w:val="28"/>
          <w:szCs w:val="28"/>
        </w:rPr>
      </w:pPr>
      <w:r>
        <w:rPr>
          <w:rFonts w:ascii="Aptos" w:eastAsia="Aptos" w:hAnsi="Aptos" w:cs="Aptos"/>
          <w:sz w:val="24"/>
          <w:szCs w:val="24"/>
        </w:rPr>
        <w:t>Reframe the presentation to open with the persona and task scenario, add slide numbers, fix non-standard terminology (e.g., "LVSIP"), and state upfront where and how generative AI is used, for the Fall CS 900 review.</w:t>
      </w:r>
    </w:p>
    <w:p w14:paraId="08731642" w14:textId="77777777" w:rsidR="00933170" w:rsidRDefault="00000000" w:rsidP="61044F4B">
      <w:pPr>
        <w:pStyle w:val="Heading3"/>
        <w:spacing w:before="220" w:after="140"/>
        <w:rPr>
          <w:rFonts w:ascii="Aptos" w:eastAsia="Aptos" w:hAnsi="Aptos" w:cs="Aptos"/>
          <w:b/>
          <w:bCs/>
          <w:i/>
          <w:iCs/>
          <w:sz w:val="28"/>
          <w:szCs w:val="28"/>
        </w:rPr>
      </w:pPr>
      <w:r>
        <w:rPr>
          <w:rFonts w:ascii="Aptos" w:eastAsia="Aptos" w:hAnsi="Aptos" w:cs="Aptos"/>
          <w:b/>
          <w:bCs/>
          <w:i/>
          <w:iCs/>
        </w:rPr>
        <w:t>October 5 – November 5: Build the MVP</w:t>
      </w:r>
    </w:p>
    <w:p w14:paraId="422990CF" w14:textId="77777777" w:rsidR="00933170" w:rsidRDefault="00000000" w:rsidP="61044F4B">
      <w:pPr>
        <w:pStyle w:val="ListParagraph"/>
        <w:numPr>
          <w:ilvl w:val="0"/>
          <w:numId w:val="1"/>
        </w:numPr>
        <w:spacing w:after="120" w:line="276" w:lineRule="auto"/>
        <w:rPr>
          <w:rFonts w:ascii="Aptos" w:eastAsia="Aptos" w:hAnsi="Aptos" w:cs="Aptos"/>
          <w:sz w:val="28"/>
          <w:szCs w:val="28"/>
        </w:rPr>
      </w:pPr>
      <w:r>
        <w:rPr>
          <w:rFonts w:ascii="Aptos" w:eastAsia="Aptos" w:hAnsi="Aptos" w:cs="Aptos"/>
          <w:sz w:val="24"/>
          <w:szCs w:val="24"/>
        </w:rPr>
        <w:t>Set up the project and integrate a search source (API or index) for the SERP.</w:t>
      </w:r>
    </w:p>
    <w:p w14:paraId="4FA51CD4" w14:textId="77777777" w:rsidR="00933170" w:rsidRDefault="00000000" w:rsidP="61044F4B">
      <w:pPr>
        <w:pStyle w:val="ListParagraph"/>
        <w:numPr>
          <w:ilvl w:val="0"/>
          <w:numId w:val="1"/>
        </w:numPr>
        <w:spacing w:after="120" w:line="276" w:lineRule="auto"/>
        <w:rPr>
          <w:rFonts w:ascii="Aptos" w:eastAsia="Aptos" w:hAnsi="Aptos" w:cs="Aptos"/>
          <w:sz w:val="28"/>
          <w:szCs w:val="28"/>
        </w:rPr>
      </w:pPr>
      <w:r>
        <w:rPr>
          <w:rFonts w:ascii="Aptos" w:eastAsia="Aptos" w:hAnsi="Aptos" w:cs="Aptos"/>
          <w:sz w:val="24"/>
          <w:szCs w:val="24"/>
        </w:rPr>
        <w:t>Implement the planning screen: goal, prior-knowledge, and information-need input, with LLM-based sub-goal generation and selection, and LLM-based query generation for each selected sub-goal.</w:t>
      </w:r>
    </w:p>
    <w:p w14:paraId="0C4FE3BC" w14:textId="77777777" w:rsidR="00933170" w:rsidRDefault="00000000" w:rsidP="61044F4B">
      <w:pPr>
        <w:pStyle w:val="ListParagraph"/>
        <w:numPr>
          <w:ilvl w:val="0"/>
          <w:numId w:val="1"/>
        </w:numPr>
        <w:spacing w:after="120" w:line="276" w:lineRule="auto"/>
        <w:rPr>
          <w:rFonts w:ascii="Aptos" w:eastAsia="Aptos" w:hAnsi="Aptos" w:cs="Aptos"/>
          <w:sz w:val="28"/>
          <w:szCs w:val="28"/>
        </w:rPr>
      </w:pPr>
      <w:r>
        <w:rPr>
          <w:rFonts w:ascii="Aptos" w:eastAsia="Aptos" w:hAnsi="Aptos" w:cs="Aptos"/>
          <w:sz w:val="24"/>
          <w:szCs w:val="24"/>
        </w:rPr>
        <w:t>Implement the SERP relevance visualization: embedding-based cosine similarity between sub-goals and results, mapped to a four-category relevance label (Excellent Match, Good Match, Possible Match, No Match) with colour-intensity encoding; treat the similarity thresholds as provisional pending empirical validation.</w:t>
      </w:r>
    </w:p>
    <w:p w14:paraId="6FE05A4B" w14:textId="77777777" w:rsidR="00933170" w:rsidRDefault="00000000" w:rsidP="61044F4B">
      <w:pPr>
        <w:pStyle w:val="ListParagraph"/>
        <w:numPr>
          <w:ilvl w:val="0"/>
          <w:numId w:val="1"/>
        </w:numPr>
        <w:spacing w:after="120" w:line="276" w:lineRule="auto"/>
        <w:rPr>
          <w:rFonts w:ascii="Aptos" w:eastAsia="Aptos" w:hAnsi="Aptos" w:cs="Aptos"/>
          <w:sz w:val="28"/>
          <w:szCs w:val="28"/>
        </w:rPr>
      </w:pPr>
      <w:r>
        <w:rPr>
          <w:rFonts w:ascii="Aptos" w:eastAsia="Aptos" w:hAnsi="Aptos" w:cs="Aptos"/>
          <w:sz w:val="24"/>
          <w:szCs w:val="24"/>
        </w:rPr>
        <w:t>Implement goal-linked saving so results file directly under the sub-goal through which they were found, per-direction coverage tracking, and the Suggested Next Step mechanism.</w:t>
      </w:r>
    </w:p>
    <w:p w14:paraId="0CF4D587" w14:textId="77777777" w:rsidR="00933170" w:rsidRDefault="00000000" w:rsidP="61044F4B">
      <w:pPr>
        <w:pStyle w:val="ListParagraph"/>
        <w:numPr>
          <w:ilvl w:val="0"/>
          <w:numId w:val="1"/>
        </w:numPr>
        <w:spacing w:after="120" w:line="276" w:lineRule="auto"/>
        <w:rPr>
          <w:rFonts w:ascii="Aptos" w:eastAsia="Aptos" w:hAnsi="Aptos" w:cs="Aptos"/>
          <w:sz w:val="28"/>
          <w:szCs w:val="28"/>
        </w:rPr>
      </w:pPr>
      <w:r>
        <w:rPr>
          <w:rFonts w:ascii="Aptos" w:eastAsia="Aptos" w:hAnsi="Aptos" w:cs="Aptos"/>
          <w:sz w:val="24"/>
          <w:szCs w:val="24"/>
        </w:rPr>
        <w:t>Implement session logging and the Recap and Resume screens, keeping numeric computation and LLM phrasing strictly separate as described in the Implementation Note.</w:t>
      </w:r>
    </w:p>
    <w:p w14:paraId="27B04D46" w14:textId="77777777" w:rsidR="00933170" w:rsidRDefault="00000000" w:rsidP="61044F4B">
      <w:pPr>
        <w:pStyle w:val="ListParagraph"/>
        <w:numPr>
          <w:ilvl w:val="0"/>
          <w:numId w:val="1"/>
        </w:numPr>
        <w:spacing w:after="120" w:line="276" w:lineRule="auto"/>
        <w:rPr>
          <w:rFonts w:ascii="Aptos" w:eastAsia="Aptos" w:hAnsi="Aptos" w:cs="Aptos"/>
          <w:sz w:val="28"/>
          <w:szCs w:val="28"/>
        </w:rPr>
      </w:pPr>
      <w:r>
        <w:rPr>
          <w:rFonts w:ascii="Aptos" w:eastAsia="Aptos" w:hAnsi="Aptos" w:cs="Aptos"/>
          <w:sz w:val="24"/>
          <w:szCs w:val="24"/>
        </w:rPr>
        <w:lastRenderedPageBreak/>
        <w:t>Integrate all components end to end into a working MVP and confirm through informal use that the mechanisms behave as intended and that the research questions remain valid and interesting before locking in the study protocol.</w:t>
      </w:r>
    </w:p>
    <w:p w14:paraId="319136DF" w14:textId="77777777" w:rsidR="00933170" w:rsidRDefault="00000000" w:rsidP="61044F4B">
      <w:pPr>
        <w:pStyle w:val="Heading2"/>
        <w:spacing w:before="280" w:after="160"/>
        <w:rPr>
          <w:rFonts w:ascii="Aptos Display" w:eastAsia="Aptos Display" w:hAnsi="Aptos Display" w:cs="Aptos Display"/>
          <w:b/>
          <w:bCs/>
          <w:sz w:val="28"/>
          <w:szCs w:val="28"/>
        </w:rPr>
      </w:pPr>
      <w:r>
        <w:rPr>
          <w:rFonts w:ascii="Aptos Display" w:eastAsia="Aptos Display" w:hAnsi="Aptos Display" w:cs="Aptos Display"/>
          <w:b/>
          <w:bCs/>
          <w:sz w:val="28"/>
          <w:szCs w:val="28"/>
        </w:rPr>
        <w:t>Phase 2: Study Design &amp; Ethics Application</w:t>
      </w:r>
    </w:p>
    <w:p w14:paraId="2AF2C495" w14:textId="77777777" w:rsidR="00933170" w:rsidRDefault="00000000" w:rsidP="61044F4B">
      <w:pPr>
        <w:pStyle w:val="Heading3"/>
        <w:spacing w:before="220" w:after="140"/>
        <w:rPr>
          <w:rFonts w:ascii="Aptos" w:eastAsia="Aptos" w:hAnsi="Aptos" w:cs="Aptos"/>
          <w:b/>
          <w:bCs/>
          <w:i/>
          <w:iCs/>
          <w:sz w:val="28"/>
          <w:szCs w:val="28"/>
        </w:rPr>
      </w:pPr>
      <w:r>
        <w:rPr>
          <w:rFonts w:ascii="Aptos" w:eastAsia="Aptos" w:hAnsi="Aptos" w:cs="Aptos"/>
          <w:b/>
          <w:bCs/>
          <w:i/>
          <w:iCs/>
        </w:rPr>
        <w:t>November 5 – November 20: Decisions That Shape the Protocol</w:t>
      </w:r>
    </w:p>
    <w:p w14:paraId="3E6C4B1D" w14:textId="77777777" w:rsidR="00933170" w:rsidRDefault="00000000" w:rsidP="61044F4B">
      <w:pPr>
        <w:pStyle w:val="ListParagraph"/>
        <w:numPr>
          <w:ilvl w:val="0"/>
          <w:numId w:val="1"/>
        </w:numPr>
        <w:spacing w:after="120" w:line="276" w:lineRule="auto"/>
        <w:rPr>
          <w:rFonts w:ascii="Aptos" w:eastAsia="Aptos" w:hAnsi="Aptos" w:cs="Aptos"/>
          <w:sz w:val="28"/>
          <w:szCs w:val="28"/>
        </w:rPr>
      </w:pPr>
      <w:r>
        <w:rPr>
          <w:rFonts w:ascii="Aptos" w:eastAsia="Aptos" w:hAnsi="Aptos" w:cs="Aptos"/>
          <w:sz w:val="24"/>
          <w:szCs w:val="24"/>
        </w:rPr>
        <w:t>Map each MINDS feature to the specific metacognitive activity it targets (planning, monitoring, or evaluating), grounded in how the MVP actually implements it rather than in the original design intent alone.</w:t>
      </w:r>
    </w:p>
    <w:p w14:paraId="5B8A8035" w14:textId="77777777" w:rsidR="00933170" w:rsidRDefault="00000000" w:rsidP="61044F4B">
      <w:pPr>
        <w:pStyle w:val="ListParagraph"/>
        <w:numPr>
          <w:ilvl w:val="0"/>
          <w:numId w:val="1"/>
        </w:numPr>
        <w:spacing w:after="120" w:line="276" w:lineRule="auto"/>
        <w:rPr>
          <w:rFonts w:ascii="Aptos" w:eastAsia="Aptos" w:hAnsi="Aptos" w:cs="Aptos"/>
          <w:sz w:val="28"/>
          <w:szCs w:val="28"/>
        </w:rPr>
      </w:pPr>
      <w:r>
        <w:rPr>
          <w:rFonts w:ascii="Aptos" w:eastAsia="Aptos" w:hAnsi="Aptos" w:cs="Aptos"/>
          <w:sz w:val="24"/>
          <w:szCs w:val="24"/>
        </w:rPr>
        <w:t>Adopt Crescenzi et al.'s (2021) planning, monitoring, and evaluation instrument, the same one Momeni and Hoeber (2026) reused rather than rewrote, as the basis for the study's metacognition measure, used as-is.</w:t>
      </w:r>
    </w:p>
    <w:p w14:paraId="6B6567F0" w14:textId="77777777" w:rsidR="00933170" w:rsidRDefault="00000000" w:rsidP="61044F4B">
      <w:pPr>
        <w:pStyle w:val="ListParagraph"/>
        <w:numPr>
          <w:ilvl w:val="0"/>
          <w:numId w:val="1"/>
        </w:numPr>
        <w:spacing w:after="120" w:line="276" w:lineRule="auto"/>
        <w:rPr>
          <w:rFonts w:ascii="Aptos" w:eastAsia="Aptos" w:hAnsi="Aptos" w:cs="Aptos"/>
          <w:sz w:val="28"/>
          <w:szCs w:val="28"/>
        </w:rPr>
      </w:pPr>
      <w:r>
        <w:rPr>
          <w:rFonts w:ascii="Aptos" w:eastAsia="Aptos" w:hAnsi="Aptos" w:cs="Aptos"/>
          <w:sz w:val="24"/>
          <w:szCs w:val="24"/>
        </w:rPr>
        <w:t>Decide the user study's population strategy: working memory capacity as a continuous measure, diagnosed dyslexia or ADHD recruitment, or both. This directly determines the study's participant recruitment criteria and screening instruments for the REB application.</w:t>
      </w:r>
    </w:p>
    <w:p w14:paraId="2C51579A" w14:textId="77777777" w:rsidR="00933170" w:rsidRDefault="00000000" w:rsidP="61044F4B">
      <w:pPr>
        <w:pStyle w:val="Heading3"/>
        <w:spacing w:before="220" w:after="140"/>
        <w:rPr>
          <w:rFonts w:ascii="Aptos" w:eastAsia="Aptos" w:hAnsi="Aptos" w:cs="Aptos"/>
          <w:b/>
          <w:bCs/>
          <w:i/>
          <w:iCs/>
          <w:sz w:val="28"/>
          <w:szCs w:val="28"/>
        </w:rPr>
      </w:pPr>
      <w:r>
        <w:rPr>
          <w:rFonts w:ascii="Aptos" w:eastAsia="Aptos" w:hAnsi="Aptos" w:cs="Aptos"/>
          <w:b/>
          <w:bCs/>
          <w:i/>
          <w:iCs/>
        </w:rPr>
        <w:t>November 20 – December 5: Protocol and Ethics Submission</w:t>
      </w:r>
    </w:p>
    <w:p w14:paraId="479A7AB3" w14:textId="77777777" w:rsidR="00933170" w:rsidRDefault="00000000" w:rsidP="61044F4B">
      <w:pPr>
        <w:pStyle w:val="ListParagraph"/>
        <w:numPr>
          <w:ilvl w:val="0"/>
          <w:numId w:val="1"/>
        </w:numPr>
        <w:spacing w:after="120" w:line="276" w:lineRule="auto"/>
        <w:rPr>
          <w:rFonts w:ascii="Aptos" w:eastAsia="Aptos" w:hAnsi="Aptos" w:cs="Aptos"/>
          <w:sz w:val="28"/>
          <w:szCs w:val="28"/>
        </w:rPr>
      </w:pPr>
      <w:r>
        <w:rPr>
          <w:rFonts w:ascii="Aptos" w:eastAsia="Aptos" w:hAnsi="Aptos" w:cs="Aptos"/>
          <w:sz w:val="24"/>
          <w:szCs w:val="24"/>
        </w:rPr>
        <w:t>Design the user study protocol: participant selection, task scenario, metrics, and analysis plan, reflecting the population strategy decided above and the MVP's actual behavior.</w:t>
      </w:r>
    </w:p>
    <w:p w14:paraId="0C61F102" w14:textId="77777777" w:rsidR="00933170" w:rsidRDefault="00000000" w:rsidP="61044F4B">
      <w:pPr>
        <w:pStyle w:val="ListParagraph"/>
        <w:numPr>
          <w:ilvl w:val="0"/>
          <w:numId w:val="1"/>
        </w:numPr>
        <w:spacing w:after="120" w:line="276" w:lineRule="auto"/>
        <w:rPr>
          <w:rFonts w:ascii="Aptos" w:eastAsia="Aptos" w:hAnsi="Aptos" w:cs="Aptos"/>
          <w:sz w:val="28"/>
          <w:szCs w:val="28"/>
        </w:rPr>
      </w:pPr>
      <w:r>
        <w:rPr>
          <w:rFonts w:ascii="Aptos" w:eastAsia="Aptos" w:hAnsi="Aptos" w:cs="Aptos"/>
          <w:sz w:val="24"/>
          <w:szCs w:val="24"/>
        </w:rPr>
        <w:t>Select the baseline condition MINDS will be compared against.</w:t>
      </w:r>
    </w:p>
    <w:p w14:paraId="2467943F" w14:textId="77777777" w:rsidR="00933170" w:rsidRDefault="00000000" w:rsidP="61044F4B">
      <w:pPr>
        <w:pStyle w:val="ListParagraph"/>
        <w:numPr>
          <w:ilvl w:val="0"/>
          <w:numId w:val="1"/>
        </w:numPr>
        <w:spacing w:after="120" w:line="276" w:lineRule="auto"/>
        <w:rPr>
          <w:rFonts w:ascii="Aptos" w:eastAsia="Aptos" w:hAnsi="Aptos" w:cs="Aptos"/>
          <w:sz w:val="28"/>
          <w:szCs w:val="28"/>
        </w:rPr>
      </w:pPr>
      <w:r>
        <w:rPr>
          <w:rFonts w:ascii="Aptos" w:eastAsia="Aptos" w:hAnsi="Aptos" w:cs="Aptos"/>
          <w:sz w:val="24"/>
          <w:szCs w:val="24"/>
        </w:rPr>
        <w:t>Draft the research ethics (REB) application and supporting study materials.</w:t>
      </w:r>
    </w:p>
    <w:p w14:paraId="34AF0968" w14:textId="77777777" w:rsidR="00933170" w:rsidRDefault="00000000" w:rsidP="61044F4B">
      <w:pPr>
        <w:pStyle w:val="ListParagraph"/>
        <w:numPr>
          <w:ilvl w:val="0"/>
          <w:numId w:val="1"/>
        </w:numPr>
        <w:spacing w:after="120" w:line="276" w:lineRule="auto"/>
        <w:rPr>
          <w:rFonts w:ascii="Aptos" w:eastAsia="Aptos" w:hAnsi="Aptos" w:cs="Aptos"/>
          <w:sz w:val="28"/>
          <w:szCs w:val="28"/>
        </w:rPr>
      </w:pPr>
      <w:r>
        <w:rPr>
          <w:rFonts w:ascii="Aptos" w:eastAsia="Aptos" w:hAnsi="Aptos" w:cs="Aptos"/>
          <w:sz w:val="24"/>
          <w:szCs w:val="24"/>
        </w:rPr>
        <w:t>Incorporate Fall CS 900 review feedback into the study protocol and ethics application.</w:t>
      </w:r>
    </w:p>
    <w:p w14:paraId="3A08B06D" w14:textId="77777777" w:rsidR="00933170" w:rsidRDefault="00000000" w:rsidP="61044F4B">
      <w:pPr>
        <w:pStyle w:val="ListParagraph"/>
        <w:numPr>
          <w:ilvl w:val="0"/>
          <w:numId w:val="1"/>
        </w:numPr>
        <w:spacing w:after="120" w:line="276" w:lineRule="auto"/>
        <w:rPr>
          <w:rFonts w:ascii="Aptos" w:eastAsia="Aptos" w:hAnsi="Aptos" w:cs="Aptos"/>
          <w:sz w:val="28"/>
          <w:szCs w:val="28"/>
        </w:rPr>
      </w:pPr>
      <w:r>
        <w:rPr>
          <w:rFonts w:ascii="Aptos" w:eastAsia="Aptos" w:hAnsi="Aptos" w:cs="Aptos"/>
          <w:sz w:val="24"/>
          <w:szCs w:val="24"/>
        </w:rPr>
        <w:t>Submit the REB application.</w:t>
      </w:r>
    </w:p>
    <w:p w14:paraId="7A6510AC" w14:textId="77777777" w:rsidR="00933170" w:rsidRDefault="00000000" w:rsidP="61044F4B">
      <w:pPr>
        <w:pStyle w:val="Heading2"/>
        <w:spacing w:before="280" w:after="160"/>
        <w:rPr>
          <w:rFonts w:ascii="Aptos Display" w:eastAsia="Aptos Display" w:hAnsi="Aptos Display" w:cs="Aptos Display"/>
          <w:b/>
          <w:bCs/>
          <w:sz w:val="28"/>
          <w:szCs w:val="28"/>
        </w:rPr>
      </w:pPr>
      <w:r>
        <w:rPr>
          <w:rFonts w:ascii="Aptos Display" w:eastAsia="Aptos Display" w:hAnsi="Aptos Display" w:cs="Aptos Display"/>
          <w:b/>
          <w:bCs/>
          <w:sz w:val="28"/>
          <w:szCs w:val="28"/>
        </w:rPr>
        <w:t>Phase 3: Heuristic Evaluation &amp; Cognitive Walkthroughs (While REB Review Is Pending)</w:t>
      </w:r>
    </w:p>
    <w:p w14:paraId="123D96D7" w14:textId="77777777" w:rsidR="00933170" w:rsidRDefault="00000000" w:rsidP="61044F4B">
      <w:pPr>
        <w:pStyle w:val="Heading3"/>
        <w:spacing w:before="220" w:after="140"/>
        <w:rPr>
          <w:rFonts w:ascii="Aptos" w:eastAsia="Aptos" w:hAnsi="Aptos" w:cs="Aptos"/>
          <w:b/>
          <w:bCs/>
          <w:i/>
          <w:iCs/>
          <w:sz w:val="28"/>
          <w:szCs w:val="28"/>
        </w:rPr>
      </w:pPr>
      <w:r>
        <w:rPr>
          <w:rFonts w:ascii="Aptos" w:eastAsia="Aptos" w:hAnsi="Aptos" w:cs="Aptos"/>
          <w:b/>
          <w:bCs/>
          <w:i/>
          <w:iCs/>
        </w:rPr>
        <w:t>December 5 onward, through the REB review period</w:t>
      </w:r>
    </w:p>
    <w:p w14:paraId="5FD06F6D" w14:textId="77777777" w:rsidR="00933170" w:rsidRDefault="00000000" w:rsidP="61044F4B">
      <w:pPr>
        <w:pStyle w:val="ListParagraph"/>
        <w:numPr>
          <w:ilvl w:val="0"/>
          <w:numId w:val="1"/>
        </w:numPr>
        <w:spacing w:after="120" w:line="276" w:lineRule="auto"/>
        <w:rPr>
          <w:rFonts w:ascii="Aptos" w:eastAsia="Aptos" w:hAnsi="Aptos" w:cs="Aptos"/>
          <w:sz w:val="28"/>
          <w:szCs w:val="28"/>
        </w:rPr>
      </w:pPr>
      <w:r>
        <w:rPr>
          <w:rFonts w:ascii="Aptos" w:eastAsia="Aptos" w:hAnsi="Aptos" w:cs="Aptos"/>
          <w:sz w:val="24"/>
          <w:szCs w:val="24"/>
        </w:rPr>
        <w:t>Run heuristic evaluations of the MVP against established usability heuristics, independent of the REB timeline.</w:t>
      </w:r>
    </w:p>
    <w:p w14:paraId="5A4F80B6" w14:textId="77777777" w:rsidR="00933170" w:rsidRDefault="00000000" w:rsidP="61044F4B">
      <w:pPr>
        <w:pStyle w:val="ListParagraph"/>
        <w:numPr>
          <w:ilvl w:val="0"/>
          <w:numId w:val="1"/>
        </w:numPr>
        <w:spacing w:after="120" w:line="276" w:lineRule="auto"/>
        <w:rPr>
          <w:rFonts w:ascii="Aptos" w:eastAsia="Aptos" w:hAnsi="Aptos" w:cs="Aptos"/>
          <w:sz w:val="28"/>
          <w:szCs w:val="28"/>
        </w:rPr>
      </w:pPr>
      <w:r>
        <w:rPr>
          <w:rFonts w:ascii="Aptos" w:eastAsia="Aptos" w:hAnsi="Aptos" w:cs="Aptos"/>
          <w:sz w:val="24"/>
          <w:szCs w:val="24"/>
        </w:rPr>
        <w:lastRenderedPageBreak/>
        <w:t>Conduct cognitive walkthroughs of each of the five MINDS mechanisms to identify points where a searcher's expected action diverges from what the interface supports.</w:t>
      </w:r>
    </w:p>
    <w:p w14:paraId="3709B756" w14:textId="77777777" w:rsidR="00933170" w:rsidRDefault="00000000" w:rsidP="61044F4B">
      <w:pPr>
        <w:pStyle w:val="ListParagraph"/>
        <w:numPr>
          <w:ilvl w:val="0"/>
          <w:numId w:val="1"/>
        </w:numPr>
        <w:spacing w:after="120" w:line="276" w:lineRule="auto"/>
        <w:rPr>
          <w:rFonts w:ascii="Aptos" w:eastAsia="Aptos" w:hAnsi="Aptos" w:cs="Aptos"/>
          <w:sz w:val="28"/>
          <w:szCs w:val="28"/>
        </w:rPr>
      </w:pPr>
      <w:r>
        <w:rPr>
          <w:rFonts w:ascii="Aptos" w:eastAsia="Aptos" w:hAnsi="Aptos" w:cs="Aptos"/>
          <w:sz w:val="24"/>
          <w:szCs w:val="24"/>
        </w:rPr>
        <w:t>Fix defects and refine the interface based on findings from the heuristic evaluations and cognitive walkthroughs, rather than leaving the prototype unchanged while REB review is underway.</w:t>
      </w:r>
    </w:p>
    <w:p w14:paraId="0ACB2354" w14:textId="77777777" w:rsidR="00933170" w:rsidRDefault="00000000" w:rsidP="61044F4B">
      <w:pPr>
        <w:pStyle w:val="ListParagraph"/>
        <w:numPr>
          <w:ilvl w:val="0"/>
          <w:numId w:val="1"/>
        </w:numPr>
        <w:spacing w:after="120" w:line="276" w:lineRule="auto"/>
        <w:rPr>
          <w:rFonts w:ascii="Aptos" w:eastAsia="Aptos" w:hAnsi="Aptos" w:cs="Aptos"/>
          <w:sz w:val="28"/>
          <w:szCs w:val="28"/>
        </w:rPr>
      </w:pPr>
      <w:r>
        <w:rPr>
          <w:rFonts w:ascii="Aptos" w:eastAsia="Aptos" w:hAnsi="Aptos" w:cs="Aptos"/>
          <w:sz w:val="24"/>
          <w:szCs w:val="24"/>
        </w:rPr>
        <w:t>Validate the relevance-category similarity thresholds (Excellent Match, Good Match, Possible Match, No Match) against searchers' own judgments of result relevance during the cognitive walkthroughs, and recalibrate them if the displayed categories do not match what searchers actually judge as relevant.</w:t>
      </w:r>
    </w:p>
    <w:p w14:paraId="2E171320" w14:textId="77777777" w:rsidR="00933170" w:rsidRDefault="00000000" w:rsidP="61044F4B">
      <w:pPr>
        <w:pStyle w:val="ListParagraph"/>
        <w:numPr>
          <w:ilvl w:val="0"/>
          <w:numId w:val="1"/>
        </w:numPr>
        <w:spacing w:after="120" w:line="276" w:lineRule="auto"/>
        <w:rPr>
          <w:rFonts w:ascii="Aptos" w:eastAsia="Aptos" w:hAnsi="Aptos" w:cs="Aptos"/>
          <w:sz w:val="28"/>
          <w:szCs w:val="28"/>
        </w:rPr>
      </w:pPr>
      <w:r>
        <w:rPr>
          <w:rFonts w:ascii="Aptos" w:eastAsia="Aptos" w:hAnsi="Aptos" w:cs="Aptos"/>
          <w:sz w:val="24"/>
          <w:szCs w:val="24"/>
        </w:rPr>
        <w:t>Address any requested REB revisions as they arrive.</w:t>
      </w:r>
    </w:p>
    <w:p w14:paraId="464582A6" w14:textId="77777777" w:rsidR="00933170" w:rsidRDefault="00000000" w:rsidP="61044F4B">
      <w:pPr>
        <w:pStyle w:val="ListParagraph"/>
        <w:numPr>
          <w:ilvl w:val="0"/>
          <w:numId w:val="1"/>
        </w:numPr>
        <w:spacing w:after="120" w:line="276" w:lineRule="auto"/>
        <w:rPr>
          <w:rFonts w:ascii="Aptos" w:eastAsia="Aptos" w:hAnsi="Aptos" w:cs="Aptos"/>
          <w:sz w:val="28"/>
          <w:szCs w:val="28"/>
        </w:rPr>
      </w:pPr>
      <w:r>
        <w:rPr>
          <w:rFonts w:ascii="Aptos" w:eastAsia="Aptos" w:hAnsi="Aptos" w:cs="Aptos"/>
          <w:sz w:val="24"/>
          <w:szCs w:val="24"/>
        </w:rPr>
        <w:t>Finalize participant recruitment materials pending approval.</w:t>
      </w:r>
    </w:p>
    <w:p w14:paraId="0150260C" w14:textId="1CF8157D" w:rsidR="61044F4B" w:rsidRDefault="61044F4B" w:rsidP="61044F4B">
      <w:pPr>
        <w:pStyle w:val="Heading2"/>
        <w:spacing w:before="280" w:after="160"/>
        <w:rPr>
          <w:rFonts w:ascii="Aptos Display" w:eastAsia="Aptos Display" w:hAnsi="Aptos Display" w:cs="Aptos Display"/>
          <w:b/>
          <w:bCs/>
          <w:sz w:val="28"/>
          <w:szCs w:val="28"/>
        </w:rPr>
      </w:pPr>
    </w:p>
    <w:p w14:paraId="7C027E12" w14:textId="77777777" w:rsidR="00933170" w:rsidRDefault="00000000" w:rsidP="61044F4B">
      <w:pPr>
        <w:pStyle w:val="Heading2"/>
        <w:spacing w:before="280" w:after="160"/>
        <w:rPr>
          <w:rFonts w:ascii="Aptos Display" w:eastAsia="Aptos Display" w:hAnsi="Aptos Display" w:cs="Aptos Display"/>
          <w:b/>
          <w:bCs/>
          <w:sz w:val="32"/>
          <w:szCs w:val="32"/>
        </w:rPr>
      </w:pPr>
      <w:r>
        <w:rPr>
          <w:rFonts w:ascii="Aptos Display" w:eastAsia="Aptos Display" w:hAnsi="Aptos Display" w:cs="Aptos Display"/>
          <w:b/>
          <w:bCs/>
          <w:sz w:val="32"/>
          <w:szCs w:val="32"/>
        </w:rPr>
        <w:t>Fall 2026 Goals</w:t>
      </w:r>
    </w:p>
    <w:p w14:paraId="0518A764" w14:textId="7FF4F5FF"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1. By October 5: Design freeze: wireframes, feature-to-problem audit, and presentation finalized for the Fall CS 900 review.</w:t>
      </w:r>
    </w:p>
    <w:p w14:paraId="277399A1"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2. By November 5: MVP complete: planning, query generation, relevance visualization, goal-linked saving, the Suggested Next Step mechanism, and the Recap and Resume screens integrated and confirmed through informal use.</w:t>
      </w:r>
    </w:p>
    <w:p w14:paraId="11E61435"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3. By December 5: Study protocol finalized and the REB ethics application submitted.</w:t>
      </w:r>
    </w:p>
    <w:p w14:paraId="3BD46BC7"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4. By December 15: Heuristic evaluations and cognitive walkthroughs of the MVP underway, with defects fixed and recruitment materials finalized ahead of REB approval.</w:t>
      </w:r>
    </w:p>
    <w:p w14:paraId="247B0BC8" w14:textId="77777777" w:rsidR="00933170" w:rsidRDefault="00000000" w:rsidP="61044F4B">
      <w:pPr>
        <w:pStyle w:val="Heading1"/>
        <w:spacing w:before="360" w:after="200"/>
        <w:rPr>
          <w:rFonts w:ascii="Aptos Display" w:eastAsia="Aptos Display" w:hAnsi="Aptos Display" w:cs="Aptos Display"/>
          <w:b/>
          <w:bCs/>
        </w:rPr>
      </w:pPr>
      <w:r>
        <w:rPr>
          <w:rFonts w:ascii="Aptos Display" w:eastAsia="Aptos Display" w:hAnsi="Aptos Display" w:cs="Aptos Display"/>
          <w:b/>
          <w:bCs/>
        </w:rPr>
        <w:t>Dissemination</w:t>
      </w:r>
    </w:p>
    <w:p w14:paraId="529D6E49"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The proposed venue for dissemination is a demo paper at CHIIR or a poster at ASIS&amp;T, followed by a full paper at CHIIR or a journal article in JASIST, IPM, or TOIS.</w:t>
      </w:r>
    </w:p>
    <w:p w14:paraId="06B606ED" w14:textId="77777777" w:rsidR="00933170" w:rsidRDefault="00000000" w:rsidP="61044F4B">
      <w:pPr>
        <w:pStyle w:val="Heading1"/>
        <w:spacing w:before="360" w:after="200"/>
        <w:rPr>
          <w:rFonts w:ascii="Aptos Display" w:eastAsia="Aptos Display" w:hAnsi="Aptos Display" w:cs="Aptos Display"/>
          <w:b/>
          <w:bCs/>
        </w:rPr>
      </w:pPr>
      <w:r>
        <w:rPr>
          <w:rFonts w:ascii="Aptos Display" w:eastAsia="Aptos Display" w:hAnsi="Aptos Display" w:cs="Aptos Display"/>
          <w:b/>
          <w:bCs/>
        </w:rPr>
        <w:t>Coursework</w:t>
      </w:r>
    </w:p>
    <w:p w14:paraId="3C338E67" w14:textId="77777777" w:rsidR="00933170" w:rsidRDefault="00000000" w:rsidP="61044F4B">
      <w:pPr>
        <w:pStyle w:val="ListParagraph"/>
        <w:numPr>
          <w:ilvl w:val="0"/>
          <w:numId w:val="1"/>
        </w:numPr>
        <w:spacing w:after="120" w:line="276" w:lineRule="auto"/>
        <w:rPr>
          <w:rFonts w:ascii="Aptos" w:eastAsia="Aptos" w:hAnsi="Aptos" w:cs="Aptos"/>
          <w:sz w:val="28"/>
          <w:szCs w:val="28"/>
        </w:rPr>
      </w:pPr>
      <w:r>
        <w:rPr>
          <w:rFonts w:ascii="Aptos" w:eastAsia="Aptos" w:hAnsi="Aptos" w:cs="Aptos"/>
          <w:sz w:val="24"/>
          <w:szCs w:val="24"/>
        </w:rPr>
        <w:t>First CS 900 — literature and understanding — Winter 2026</w:t>
      </w:r>
    </w:p>
    <w:p w14:paraId="4753D4C8" w14:textId="77777777" w:rsidR="00933170" w:rsidRDefault="00000000" w:rsidP="61044F4B">
      <w:pPr>
        <w:pStyle w:val="ListParagraph"/>
        <w:numPr>
          <w:ilvl w:val="0"/>
          <w:numId w:val="1"/>
        </w:numPr>
        <w:spacing w:after="120" w:line="276" w:lineRule="auto"/>
        <w:rPr>
          <w:rFonts w:ascii="Aptos" w:eastAsia="Aptos" w:hAnsi="Aptos" w:cs="Aptos"/>
          <w:sz w:val="28"/>
          <w:szCs w:val="28"/>
        </w:rPr>
      </w:pPr>
      <w:r>
        <w:rPr>
          <w:rFonts w:ascii="Aptos" w:eastAsia="Aptos" w:hAnsi="Aptos" w:cs="Aptos"/>
          <w:sz w:val="24"/>
          <w:szCs w:val="24"/>
        </w:rPr>
        <w:t>Second CS 900 — design and implementation — Summer 2026</w:t>
      </w:r>
    </w:p>
    <w:p w14:paraId="4F812DBA" w14:textId="77777777" w:rsidR="00933170" w:rsidRDefault="00000000" w:rsidP="61044F4B">
      <w:pPr>
        <w:pStyle w:val="ListParagraph"/>
        <w:numPr>
          <w:ilvl w:val="0"/>
          <w:numId w:val="1"/>
        </w:numPr>
        <w:spacing w:after="120" w:line="276" w:lineRule="auto"/>
        <w:rPr>
          <w:rFonts w:ascii="Aptos" w:eastAsia="Aptos" w:hAnsi="Aptos" w:cs="Aptos"/>
          <w:sz w:val="28"/>
          <w:szCs w:val="28"/>
        </w:rPr>
      </w:pPr>
      <w:r>
        <w:rPr>
          <w:rFonts w:ascii="Aptos" w:eastAsia="Aptos" w:hAnsi="Aptos" w:cs="Aptos"/>
          <w:sz w:val="24"/>
          <w:szCs w:val="24"/>
        </w:rPr>
        <w:lastRenderedPageBreak/>
        <w:t>Third CS 900 — implementation, study design, ethics application — Fall 2026</w:t>
      </w:r>
    </w:p>
    <w:p w14:paraId="7CF37F32" w14:textId="77777777" w:rsidR="00933170" w:rsidRDefault="00000000" w:rsidP="61044F4B">
      <w:pPr>
        <w:pStyle w:val="ListParagraph"/>
        <w:numPr>
          <w:ilvl w:val="0"/>
          <w:numId w:val="1"/>
        </w:numPr>
        <w:spacing w:after="120" w:line="276" w:lineRule="auto"/>
        <w:rPr>
          <w:rFonts w:ascii="Aptos" w:eastAsia="Aptos" w:hAnsi="Aptos" w:cs="Aptos"/>
          <w:sz w:val="28"/>
          <w:szCs w:val="28"/>
        </w:rPr>
      </w:pPr>
      <w:r>
        <w:rPr>
          <w:rFonts w:ascii="Aptos" w:eastAsia="Aptos" w:hAnsi="Aptos" w:cs="Aptos"/>
          <w:sz w:val="24"/>
          <w:szCs w:val="24"/>
        </w:rPr>
        <w:t>Fourth CS 900 — data collection and writing — Winter 2027</w:t>
      </w:r>
    </w:p>
    <w:p w14:paraId="0A7B8626" w14:textId="77777777" w:rsidR="00933170" w:rsidRDefault="00000000" w:rsidP="61044F4B">
      <w:pPr>
        <w:pStyle w:val="ListParagraph"/>
        <w:numPr>
          <w:ilvl w:val="0"/>
          <w:numId w:val="1"/>
        </w:numPr>
        <w:spacing w:after="120" w:line="276" w:lineRule="auto"/>
        <w:rPr>
          <w:rFonts w:ascii="Aptos" w:eastAsia="Aptos" w:hAnsi="Aptos" w:cs="Aptos"/>
          <w:sz w:val="28"/>
          <w:szCs w:val="28"/>
        </w:rPr>
      </w:pPr>
      <w:r>
        <w:rPr>
          <w:rFonts w:ascii="Aptos" w:eastAsia="Aptos" w:hAnsi="Aptos" w:cs="Aptos"/>
          <w:sz w:val="24"/>
          <w:szCs w:val="24"/>
        </w:rPr>
        <w:t>Fifth CS 900 — defence and further dissemination — Summer 2027</w:t>
      </w:r>
    </w:p>
    <w:p w14:paraId="2A4516B3" w14:textId="77777777" w:rsidR="00933170" w:rsidRDefault="00000000" w:rsidP="61044F4B">
      <w:pPr>
        <w:pStyle w:val="Heading1"/>
        <w:spacing w:before="360" w:after="200"/>
        <w:rPr>
          <w:rFonts w:ascii="Aptos Display" w:eastAsia="Aptos Display" w:hAnsi="Aptos Display" w:cs="Aptos Display"/>
          <w:b/>
          <w:bCs/>
        </w:rPr>
      </w:pPr>
      <w:r>
        <w:rPr>
          <w:rFonts w:ascii="Aptos Display" w:eastAsia="Aptos Display" w:hAnsi="Aptos Display" w:cs="Aptos Display"/>
          <w:b/>
          <w:bCs/>
        </w:rPr>
        <w:t>Acknowledgments</w:t>
      </w:r>
    </w:p>
    <w:p w14:paraId="3D15D643" w14:textId="77777777" w:rsidR="00933170" w:rsidRDefault="00000000" w:rsidP="61044F4B">
      <w:pPr>
        <w:spacing w:after="200" w:line="276" w:lineRule="auto"/>
        <w:rPr>
          <w:rFonts w:ascii="Aptos" w:eastAsia="Aptos" w:hAnsi="Aptos" w:cs="Aptos"/>
          <w:sz w:val="28"/>
          <w:szCs w:val="28"/>
        </w:rPr>
      </w:pPr>
      <w:r>
        <w:rPr>
          <w:rFonts w:ascii="Aptos" w:eastAsia="Aptos" w:hAnsi="Aptos" w:cs="Aptos"/>
          <w:sz w:val="24"/>
          <w:szCs w:val="24"/>
        </w:rPr>
        <w:t>The author gratefully acknowledges the guidance of Dr. Orland Hoeber and the members of the Interactive Information Retrieval research group at the University of Regina.</w:t>
      </w:r>
    </w:p>
    <w:p w14:paraId="071E4E01" w14:textId="77777777" w:rsidR="00933170" w:rsidRDefault="00000000" w:rsidP="61044F4B">
      <w:pPr>
        <w:pStyle w:val="Heading1"/>
        <w:spacing w:before="360" w:after="200"/>
        <w:rPr>
          <w:rFonts w:ascii="Aptos Display" w:eastAsia="Aptos Display" w:hAnsi="Aptos Display" w:cs="Aptos Display"/>
          <w:b/>
          <w:bCs/>
        </w:rPr>
      </w:pPr>
      <w:r>
        <w:rPr>
          <w:rFonts w:ascii="Aptos Display" w:eastAsia="Aptos Display" w:hAnsi="Aptos Display" w:cs="Aptos Display"/>
          <w:b/>
          <w:bCs/>
        </w:rPr>
        <w:t>References</w:t>
      </w:r>
    </w:p>
    <w:p w14:paraId="232F2F04" w14:textId="77777777" w:rsidR="00933170" w:rsidRDefault="00000000" w:rsidP="61044F4B">
      <w:pPr>
        <w:spacing w:after="160" w:line="264" w:lineRule="auto"/>
        <w:ind w:left="576" w:hanging="576"/>
        <w:rPr>
          <w:rFonts w:ascii="Aptos" w:eastAsia="Aptos" w:hAnsi="Aptos" w:cs="Aptos"/>
          <w:sz w:val="24"/>
          <w:szCs w:val="24"/>
        </w:rPr>
      </w:pPr>
      <w:r>
        <w:rPr>
          <w:rFonts w:ascii="Aptos" w:eastAsia="Aptos" w:hAnsi="Aptos" w:cs="Aptos"/>
          <w:sz w:val="22"/>
          <w:szCs w:val="22"/>
        </w:rPr>
        <w:t>[1] Bogeum Choi and Jaime Arguello (2025). The Effects of Working Memory during a Search and Sensemaking Task. Proceedings of the 2025 ACM SIGIR Conference on Human Information Interaction and Retrieval (CHIIR '25).</w:t>
      </w:r>
    </w:p>
    <w:p w14:paraId="53E44024" w14:textId="77777777" w:rsidR="00933170" w:rsidRDefault="00000000" w:rsidP="61044F4B">
      <w:pPr>
        <w:spacing w:after="160" w:line="264" w:lineRule="auto"/>
        <w:ind w:left="576" w:hanging="576"/>
        <w:rPr>
          <w:rFonts w:ascii="Aptos" w:eastAsia="Aptos" w:hAnsi="Aptos" w:cs="Aptos"/>
          <w:sz w:val="24"/>
          <w:szCs w:val="24"/>
        </w:rPr>
      </w:pPr>
      <w:r>
        <w:rPr>
          <w:rFonts w:ascii="Aptos" w:eastAsia="Aptos" w:hAnsi="Aptos" w:cs="Aptos"/>
          <w:sz w:val="22"/>
          <w:szCs w:val="22"/>
        </w:rPr>
        <w:t>[2] Anita Crescenzi and Austin R. Ward and Yuan Li and Rob Capra (2021). Supporting Metacognition during Exploratory Search with the OrgBox. Proceedings of the 44th International ACM SIGIR Conference on Research and Development in Information Retrieval (SIGIR '21).</w:t>
      </w:r>
    </w:p>
    <w:p w14:paraId="466B3A3A" w14:textId="77777777" w:rsidR="00933170" w:rsidRDefault="00000000" w:rsidP="61044F4B">
      <w:pPr>
        <w:spacing w:after="160" w:line="264" w:lineRule="auto"/>
        <w:ind w:left="576" w:hanging="576"/>
        <w:rPr>
          <w:rFonts w:ascii="Aptos" w:eastAsia="Aptos" w:hAnsi="Aptos" w:cs="Aptos"/>
          <w:sz w:val="24"/>
          <w:szCs w:val="24"/>
        </w:rPr>
      </w:pPr>
      <w:r>
        <w:rPr>
          <w:rFonts w:ascii="Aptos" w:eastAsia="Aptos" w:hAnsi="Aptos" w:cs="Aptos"/>
          <w:sz w:val="22"/>
          <w:szCs w:val="22"/>
        </w:rPr>
        <w:t>[3] Orland Hoeber (2025). Design Principles for Exploratory Search Interfaces. Proceedings of the 2025 ACM SIGIR Conference on Human Information Interaction and Retrieval (CHIIR '25).</w:t>
      </w:r>
    </w:p>
    <w:p w14:paraId="687CA44E" w14:textId="77777777" w:rsidR="00933170" w:rsidRDefault="00000000" w:rsidP="61044F4B">
      <w:pPr>
        <w:spacing w:after="160" w:line="264" w:lineRule="auto"/>
        <w:ind w:left="576" w:hanging="576"/>
        <w:rPr>
          <w:rFonts w:ascii="Aptos" w:eastAsia="Aptos" w:hAnsi="Aptos" w:cs="Aptos"/>
          <w:sz w:val="24"/>
          <w:szCs w:val="24"/>
        </w:rPr>
      </w:pPr>
      <w:r>
        <w:rPr>
          <w:rFonts w:ascii="Aptos" w:eastAsia="Aptos" w:hAnsi="Aptos" w:cs="Aptos"/>
          <w:sz w:val="22"/>
          <w:szCs w:val="22"/>
        </w:rPr>
        <w:t>[4] Orland Hoeber and Md Nazmul Islam and Miriam Boon and Dale Storie and Veronica Ramshaw (2024). Search Timelines: visualizing search history to enable cross-session exploratory search. University of Regina.</w:t>
      </w:r>
    </w:p>
    <w:p w14:paraId="4D5486CC" w14:textId="77777777" w:rsidR="00933170" w:rsidRDefault="00000000" w:rsidP="61044F4B">
      <w:pPr>
        <w:spacing w:after="160" w:line="264" w:lineRule="auto"/>
        <w:ind w:left="576" w:hanging="576"/>
        <w:rPr>
          <w:rFonts w:ascii="Aptos" w:eastAsia="Aptos" w:hAnsi="Aptos" w:cs="Aptos"/>
          <w:sz w:val="24"/>
          <w:szCs w:val="24"/>
        </w:rPr>
      </w:pPr>
      <w:r>
        <w:rPr>
          <w:rFonts w:ascii="Aptos" w:eastAsia="Aptos" w:hAnsi="Aptos" w:cs="Aptos"/>
          <w:sz w:val="22"/>
          <w:szCs w:val="22"/>
        </w:rPr>
        <w:t>[5] Sebastian Gomes and Miriam Boon and Orland Hoeber (2022). A Study of Cross-Session Cross-Device Search Within an Academic Digital Library. Proceedings of the 45th International ACM SIGIR Conference on Research and Development in Information Retrieval (SIGIR '22).</w:t>
      </w:r>
    </w:p>
    <w:p w14:paraId="1A39FD16" w14:textId="77777777" w:rsidR="00933170" w:rsidRDefault="00000000" w:rsidP="61044F4B">
      <w:pPr>
        <w:spacing w:after="160" w:line="264" w:lineRule="auto"/>
        <w:ind w:left="576" w:hanging="576"/>
        <w:rPr>
          <w:rFonts w:ascii="Aptos" w:eastAsia="Aptos" w:hAnsi="Aptos" w:cs="Aptos"/>
          <w:sz w:val="24"/>
          <w:szCs w:val="24"/>
        </w:rPr>
      </w:pPr>
      <w:r>
        <w:rPr>
          <w:rFonts w:ascii="Aptos" w:eastAsia="Aptos" w:hAnsi="Aptos" w:cs="Aptos"/>
          <w:sz w:val="22"/>
          <w:szCs w:val="22"/>
        </w:rPr>
        <w:t>[6] Kimeya Orin and Orland Hoeber (2025). Organizing Found Information in Public Digital Library Search. Proceedings of the 2025 ACM SIGIR Conference on Human Information Interaction and Retrieval (CHIIR '25).</w:t>
      </w:r>
    </w:p>
    <w:p w14:paraId="3F7C5E80" w14:textId="77777777" w:rsidR="00933170" w:rsidRDefault="00000000" w:rsidP="61044F4B">
      <w:pPr>
        <w:spacing w:after="160" w:line="264" w:lineRule="auto"/>
        <w:ind w:left="576" w:hanging="576"/>
        <w:rPr>
          <w:rFonts w:ascii="Aptos" w:eastAsia="Aptos" w:hAnsi="Aptos" w:cs="Aptos"/>
          <w:sz w:val="24"/>
          <w:szCs w:val="24"/>
        </w:rPr>
      </w:pPr>
      <w:r>
        <w:rPr>
          <w:rFonts w:ascii="Aptos" w:eastAsia="Aptos" w:hAnsi="Aptos" w:cs="Aptos"/>
          <w:sz w:val="22"/>
          <w:szCs w:val="22"/>
        </w:rPr>
        <w:t>[7] Yuan Li and Rob Capra and Yinglong Zhang (2020). Everyday Cross-session Search. Proceedings of the 2020 Conference on Human Information Interaction and Retrieval (CHIIR '20).</w:t>
      </w:r>
    </w:p>
    <w:p w14:paraId="0B1EA0FF" w14:textId="77777777" w:rsidR="00933170" w:rsidRDefault="00000000" w:rsidP="61044F4B">
      <w:pPr>
        <w:spacing w:after="160" w:line="264" w:lineRule="auto"/>
        <w:ind w:left="576" w:hanging="576"/>
        <w:rPr>
          <w:rFonts w:ascii="Aptos" w:eastAsia="Aptos" w:hAnsi="Aptos" w:cs="Aptos"/>
          <w:sz w:val="24"/>
          <w:szCs w:val="24"/>
        </w:rPr>
      </w:pPr>
      <w:r>
        <w:rPr>
          <w:rFonts w:ascii="Aptos" w:eastAsia="Aptos" w:hAnsi="Aptos" w:cs="Aptos"/>
          <w:sz w:val="22"/>
          <w:szCs w:val="22"/>
        </w:rPr>
        <w:t>[8] Orland Hoeber and Abbas Pirmoradi Bezanjani and Sebastian Gomes and Baran Erfani and Zakiyyah Noorally and Yug Shah (2024). Visual Keyword/Result Linking: Using Interaction to Dynamically Reveal Relationships. Proceedings of the 2024 ACM SIGIR Conference on Human Information Interaction and Retrieval (CHIIR '24).</w:t>
      </w:r>
    </w:p>
    <w:p w14:paraId="477CEA93" w14:textId="77777777" w:rsidR="00933170" w:rsidRDefault="00000000" w:rsidP="61044F4B">
      <w:pPr>
        <w:spacing w:after="160" w:line="264" w:lineRule="auto"/>
        <w:ind w:left="576" w:hanging="576"/>
        <w:rPr>
          <w:rFonts w:ascii="Aptos" w:eastAsia="Aptos" w:hAnsi="Aptos" w:cs="Aptos"/>
          <w:sz w:val="24"/>
          <w:szCs w:val="24"/>
        </w:rPr>
      </w:pPr>
      <w:r>
        <w:rPr>
          <w:rFonts w:ascii="Aptos" w:eastAsia="Aptos" w:hAnsi="Aptos" w:cs="Aptos"/>
          <w:sz w:val="22"/>
          <w:szCs w:val="22"/>
        </w:rPr>
        <w:lastRenderedPageBreak/>
        <w:t>[9] Orland Hoeber and Soumya Shukla (2021). Visually Linked Keywords to Support Exploratory Browsing. Proceedings of the 2021 Conference on Human Information Interaction and Retrieval (CHIIR '21).</w:t>
      </w:r>
    </w:p>
    <w:p w14:paraId="1466D060" w14:textId="77777777" w:rsidR="00933170" w:rsidRDefault="00000000" w:rsidP="61044F4B">
      <w:pPr>
        <w:spacing w:after="160" w:line="264" w:lineRule="auto"/>
        <w:ind w:left="576" w:hanging="576"/>
        <w:rPr>
          <w:rFonts w:ascii="Aptos" w:eastAsia="Aptos" w:hAnsi="Aptos" w:cs="Aptos"/>
          <w:sz w:val="24"/>
          <w:szCs w:val="24"/>
        </w:rPr>
      </w:pPr>
      <w:r>
        <w:rPr>
          <w:rFonts w:ascii="Aptos" w:eastAsia="Aptos" w:hAnsi="Aptos" w:cs="Aptos"/>
          <w:sz w:val="22"/>
          <w:szCs w:val="22"/>
        </w:rPr>
        <w:t>[10] Yuan Li and Rob Capra (2024). Stopped yet Complete: Exploring the Relationships between Session-Stopping Reasons, Information Types, and Cognitive Activities in Cross-Session Searches. Proceedings of the 2024 ACM SIGIR Conference on Human Information Interaction and Retrieval (CHIIR '24).</w:t>
      </w:r>
    </w:p>
    <w:p w14:paraId="711CA35E" w14:textId="77777777" w:rsidR="00933170" w:rsidRDefault="00000000" w:rsidP="61044F4B">
      <w:pPr>
        <w:spacing w:after="160" w:line="264" w:lineRule="auto"/>
        <w:ind w:left="576" w:hanging="576"/>
        <w:rPr>
          <w:rFonts w:ascii="Aptos" w:eastAsia="Aptos" w:hAnsi="Aptos" w:cs="Aptos"/>
          <w:sz w:val="24"/>
          <w:szCs w:val="24"/>
        </w:rPr>
      </w:pPr>
      <w:r>
        <w:rPr>
          <w:rFonts w:ascii="Aptos" w:eastAsia="Aptos" w:hAnsi="Aptos" w:cs="Aptos"/>
          <w:sz w:val="22"/>
          <w:szCs w:val="22"/>
        </w:rPr>
        <w:t>[11] Yuyu Yang and Kelsey Urgo and Jaime Arguello and Robert Capra (2025). Search+Chat: Integrating Search and GenAI to Support Users with Learning-oriented Search Tasks. Proceedings of the 2025 ACM SIGIR Conference on Human Information Interaction and Retrieval (CHIIR '25).</w:t>
      </w:r>
    </w:p>
    <w:p w14:paraId="1CF65686" w14:textId="77777777" w:rsidR="00933170" w:rsidRDefault="00000000" w:rsidP="61044F4B">
      <w:pPr>
        <w:spacing w:after="160" w:line="264" w:lineRule="auto"/>
        <w:ind w:left="576" w:hanging="576"/>
        <w:rPr>
          <w:rFonts w:ascii="Aptos" w:eastAsia="Aptos" w:hAnsi="Aptos" w:cs="Aptos"/>
          <w:sz w:val="24"/>
          <w:szCs w:val="24"/>
        </w:rPr>
      </w:pPr>
      <w:r>
        <w:rPr>
          <w:rFonts w:ascii="Aptos" w:eastAsia="Aptos" w:hAnsi="Aptos" w:cs="Aptos"/>
          <w:sz w:val="22"/>
          <w:szCs w:val="22"/>
        </w:rPr>
        <w:t>[12] Bogeum Choi and Jaime Arguello and Robert Capra and Austin R. Ward (2023). The Influences of a Knowledge Representation Tool on Searchers with Varying Cognitive Abilities. ACM Transactions on Information Systems.</w:t>
      </w:r>
    </w:p>
    <w:p w14:paraId="6D4CAFB8" w14:textId="77777777" w:rsidR="00933170" w:rsidRDefault="00000000" w:rsidP="61044F4B">
      <w:pPr>
        <w:spacing w:after="160" w:line="264" w:lineRule="auto"/>
        <w:ind w:left="576" w:hanging="576"/>
        <w:rPr>
          <w:rFonts w:ascii="Aptos" w:eastAsia="Aptos" w:hAnsi="Aptos" w:cs="Aptos"/>
          <w:sz w:val="24"/>
          <w:szCs w:val="24"/>
        </w:rPr>
      </w:pPr>
      <w:r>
        <w:rPr>
          <w:rFonts w:ascii="Aptos" w:eastAsia="Aptos" w:hAnsi="Aptos" w:cs="Aptos"/>
          <w:sz w:val="22"/>
          <w:szCs w:val="22"/>
        </w:rPr>
        <w:t>[13] Li, Yuan and Crescenzi, Anita and Ward, Austin R. and Capra, Rob (2021). Thinking Inside the Box: An Evaluation of A Novel Search-Assisting Tool. University of North Carolina at Chapel Hill.</w:t>
      </w:r>
    </w:p>
    <w:p w14:paraId="047F8456" w14:textId="77777777" w:rsidR="00933170" w:rsidRDefault="00000000" w:rsidP="61044F4B">
      <w:pPr>
        <w:spacing w:after="160" w:line="264" w:lineRule="auto"/>
        <w:ind w:left="576" w:hanging="576"/>
        <w:rPr>
          <w:rFonts w:ascii="Aptos" w:eastAsia="Aptos" w:hAnsi="Aptos" w:cs="Aptos"/>
          <w:sz w:val="24"/>
          <w:szCs w:val="24"/>
        </w:rPr>
      </w:pPr>
      <w:r>
        <w:rPr>
          <w:rFonts w:ascii="Aptos" w:eastAsia="Aptos" w:hAnsi="Aptos" w:cs="Aptos"/>
          <w:sz w:val="22"/>
          <w:szCs w:val="22"/>
        </w:rPr>
        <w:t>[14] Hira Jamshed and Mustafa Naseem and Venkatesh Potluri and Robin N. Brewer (2025). Rethinking Productivity with GenAI: A Neurodivergent Students' Perspective. Proceedings of the 27th International ACM SIGACCESS Conference on Computers and Accessibility (ASSETS '25).</w:t>
      </w:r>
    </w:p>
    <w:p w14:paraId="784338CE" w14:textId="77777777" w:rsidR="00933170" w:rsidRDefault="00000000" w:rsidP="61044F4B">
      <w:pPr>
        <w:spacing w:after="160" w:line="264" w:lineRule="auto"/>
        <w:ind w:left="576" w:hanging="576"/>
        <w:rPr>
          <w:rFonts w:ascii="Aptos" w:eastAsia="Aptos" w:hAnsi="Aptos" w:cs="Aptos"/>
          <w:sz w:val="24"/>
          <w:szCs w:val="24"/>
        </w:rPr>
      </w:pPr>
      <w:r>
        <w:rPr>
          <w:rFonts w:ascii="Aptos" w:eastAsia="Aptos" w:hAnsi="Aptos" w:cs="Aptos"/>
          <w:sz w:val="22"/>
          <w:szCs w:val="22"/>
        </w:rPr>
        <w:t>[15] Uri Katz and Mosh Levy and Yoav Goldberg (2024). Knowledge Navigator: LLM-guided Browsing Framework for Exploratory Search in Scientific Literature. Findings of the Association for Computational Linguistics: EMNLP 2024.</w:t>
      </w:r>
    </w:p>
    <w:p w14:paraId="7CD629D8" w14:textId="77777777" w:rsidR="00933170" w:rsidRDefault="00000000" w:rsidP="61044F4B">
      <w:pPr>
        <w:spacing w:after="160" w:line="264" w:lineRule="auto"/>
        <w:ind w:left="576" w:hanging="576"/>
        <w:rPr>
          <w:rFonts w:ascii="Aptos" w:eastAsia="Aptos" w:hAnsi="Aptos" w:cs="Aptos"/>
          <w:sz w:val="24"/>
          <w:szCs w:val="24"/>
        </w:rPr>
      </w:pPr>
      <w:r>
        <w:rPr>
          <w:rFonts w:ascii="Aptos" w:eastAsia="Aptos" w:hAnsi="Aptos" w:cs="Aptos"/>
          <w:sz w:val="22"/>
          <w:szCs w:val="22"/>
        </w:rPr>
        <w:t>[16] Zihao Zhu and Junnan Yu and Yuhan Luo (2026). Scaffolding Metacognition with GenAI: Exploring Design Opportunities to Support Task Management for University Students with ADHD. Proceedings of the 2026 CHI Conference on Human Factors in Computing Systems (CHI '26).</w:t>
      </w:r>
    </w:p>
    <w:p w14:paraId="0F56497B" w14:textId="77777777" w:rsidR="00933170" w:rsidRDefault="00000000" w:rsidP="61044F4B">
      <w:pPr>
        <w:spacing w:after="160" w:line="264" w:lineRule="auto"/>
        <w:ind w:left="576" w:hanging="576"/>
        <w:rPr>
          <w:rFonts w:ascii="Aptos" w:eastAsia="Aptos" w:hAnsi="Aptos" w:cs="Aptos"/>
          <w:sz w:val="24"/>
          <w:szCs w:val="24"/>
        </w:rPr>
      </w:pPr>
      <w:r>
        <w:rPr>
          <w:rFonts w:ascii="Aptos" w:eastAsia="Aptos" w:hAnsi="Aptos" w:cs="Aptos"/>
          <w:sz w:val="22"/>
          <w:szCs w:val="22"/>
        </w:rPr>
        <w:t>[17] An, Tao (2025). Cognitive Workspace: Active Memory Management for LLMs. arXiv preprint arXiv:2508.13171.</w:t>
      </w:r>
    </w:p>
    <w:p w14:paraId="22F740E2" w14:textId="77777777" w:rsidR="00933170" w:rsidRDefault="00000000" w:rsidP="61044F4B">
      <w:pPr>
        <w:spacing w:after="160" w:line="264" w:lineRule="auto"/>
        <w:ind w:left="576" w:hanging="576"/>
        <w:rPr>
          <w:rFonts w:ascii="Aptos" w:eastAsia="Aptos" w:hAnsi="Aptos" w:cs="Aptos"/>
          <w:sz w:val="24"/>
          <w:szCs w:val="24"/>
        </w:rPr>
      </w:pPr>
      <w:r>
        <w:rPr>
          <w:rFonts w:ascii="Aptos" w:eastAsia="Aptos" w:hAnsi="Aptos" w:cs="Aptos"/>
          <w:sz w:val="22"/>
          <w:szCs w:val="22"/>
        </w:rPr>
        <w:t>[18] Yiming Luo and Patrick Cheong-Iao Pang and Shanton Chang (2025). Enhancing Exploratory Learning through Exploratory Search with the Emergence of Large Language Models. Manuscript submitted for review.</w:t>
      </w:r>
    </w:p>
    <w:p w14:paraId="3344FCFF" w14:textId="77777777" w:rsidR="00933170" w:rsidRDefault="00000000" w:rsidP="61044F4B">
      <w:pPr>
        <w:spacing w:after="160" w:line="264" w:lineRule="auto"/>
        <w:ind w:left="576" w:hanging="576"/>
        <w:rPr>
          <w:rFonts w:ascii="Aptos" w:eastAsia="Aptos" w:hAnsi="Aptos" w:cs="Aptos"/>
          <w:sz w:val="24"/>
          <w:szCs w:val="24"/>
        </w:rPr>
      </w:pPr>
      <w:r>
        <w:rPr>
          <w:rFonts w:ascii="Aptos" w:eastAsia="Aptos" w:hAnsi="Aptos" w:cs="Aptos"/>
          <w:sz w:val="22"/>
          <w:szCs w:val="22"/>
        </w:rPr>
        <w:t>[19] Kelsey Urgo and Jaime Arguello (2024). The Effects of Goal-setting on Learning Outcomes and Self-Regulated Learning Processes. Proceedings of the 2024 ACM SIGIR Conference on Human Information Interaction and Retrieval (CHIIR '24).</w:t>
      </w:r>
    </w:p>
    <w:p w14:paraId="02FD528D" w14:textId="77777777" w:rsidR="00933170" w:rsidRDefault="00000000" w:rsidP="61044F4B">
      <w:pPr>
        <w:spacing w:after="160" w:line="264" w:lineRule="auto"/>
        <w:ind w:left="576" w:hanging="576"/>
        <w:rPr>
          <w:rFonts w:ascii="Aptos" w:eastAsia="Aptos" w:hAnsi="Aptos" w:cs="Aptos"/>
          <w:sz w:val="24"/>
          <w:szCs w:val="24"/>
        </w:rPr>
      </w:pPr>
      <w:r>
        <w:rPr>
          <w:rFonts w:ascii="Aptos" w:eastAsia="Aptos" w:hAnsi="Aptos" w:cs="Aptos"/>
          <w:sz w:val="22"/>
          <w:szCs w:val="22"/>
        </w:rPr>
        <w:t>[20] David Wood and Jerome S. Bruner and Gail Ross (1976). The Role of Tutoring in Problem Solving. Journal of Child Psychology and Psychiatry, 17, 89–100.</w:t>
      </w:r>
    </w:p>
    <w:p w14:paraId="2093DC9B" w14:textId="77777777" w:rsidR="00933170" w:rsidRDefault="00000000" w:rsidP="61044F4B">
      <w:pPr>
        <w:spacing w:after="160" w:line="264" w:lineRule="auto"/>
        <w:ind w:left="576" w:hanging="576"/>
        <w:rPr>
          <w:rFonts w:ascii="Aptos" w:eastAsia="Aptos" w:hAnsi="Aptos" w:cs="Aptos"/>
          <w:sz w:val="24"/>
          <w:szCs w:val="24"/>
        </w:rPr>
      </w:pPr>
      <w:r>
        <w:rPr>
          <w:rFonts w:ascii="Aptos" w:eastAsia="Aptos" w:hAnsi="Aptos" w:cs="Aptos"/>
          <w:sz w:val="22"/>
          <w:szCs w:val="22"/>
        </w:rPr>
        <w:lastRenderedPageBreak/>
        <w:t>[21] Anita Seihoon and Lynne Beveridge and Orland Hoeber (2026). SearchPath: A Visual Reminder of Past Search Activity to Support Students with Dyslexia when Undertaking Exploratory Searches. Proceedings of the 2026 ACM SIGIR Conference on Human Information Interaction and Retrieval (CHIIR '26).</w:t>
      </w:r>
    </w:p>
    <w:p w14:paraId="6490BBD0" w14:textId="77777777" w:rsidR="00933170" w:rsidRDefault="00000000" w:rsidP="61044F4B">
      <w:pPr>
        <w:spacing w:after="160" w:line="264" w:lineRule="auto"/>
        <w:ind w:left="576" w:hanging="576"/>
        <w:rPr>
          <w:rFonts w:ascii="Aptos" w:eastAsia="Aptos" w:hAnsi="Aptos" w:cs="Aptos"/>
          <w:sz w:val="24"/>
          <w:szCs w:val="24"/>
        </w:rPr>
      </w:pPr>
      <w:r>
        <w:rPr>
          <w:rFonts w:ascii="Aptos" w:eastAsia="Aptos" w:hAnsi="Aptos" w:cs="Aptos"/>
          <w:sz w:val="22"/>
          <w:szCs w:val="22"/>
        </w:rPr>
        <w:t>[22] Milad Momeni and Orland Hoeber (2026). Does It Still Make Sense? Organizing and Summarizing Resources in Cross-Session Aggregated Search. Proceedings of the 2026 ACM SIGIR Conference on Human Information Interaction and Retrieval (CHIIR '26).</w:t>
      </w:r>
    </w:p>
    <w:p w14:paraId="6490BBD1" w14:textId="77777777" w:rsidR="00933170" w:rsidRDefault="00000000" w:rsidP="61044F4B">
      <w:pPr>
        <w:spacing w:after="160" w:line="264" w:lineRule="auto"/>
        <w:ind w:left="576" w:hanging="576"/>
        <w:rPr>
          <w:rFonts w:ascii="Aptos" w:eastAsia="Aptos" w:hAnsi="Aptos" w:cs="Aptos"/>
          <w:sz w:val="24"/>
          <w:szCs w:val="24"/>
        </w:rPr>
      </w:pPr>
      <w:r>
        <w:rPr>
          <w:rFonts w:ascii="Aptos" w:eastAsia="Aptos" w:hAnsi="Aptos" w:cs="Aptos"/>
          <w:sz w:val="22"/>
          <w:szCs w:val="22"/>
        </w:rPr>
        <w:t>[23] Lynne Beveridge and Stephann Makri and Andrew MacFarlane (2022). "I'm just not sure." The persistence of uncertainty in the information seeking of undergraduate students with dyslexia. Information Research, 27(Special Issue), ISIC 2022. https://doi.org/10.47989/irisic2207</w:t>
      </w:r>
    </w:p>
    <w:sectPr w:rsidR="0093317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6A9C28A"/>
    <w:multiLevelType w:val="hybridMultilevel"/>
    <w:tmpl w:val="DEA87FAA"/>
    <w:lvl w:ilvl="0" w:tplc="FE48D30E">
      <w:start w:val="1"/>
      <w:numFmt w:val="bullet"/>
      <w:lvlText w:val="●"/>
      <w:lvlJc w:val="left"/>
      <w:pPr>
        <w:ind w:left="720" w:hanging="360"/>
      </w:pPr>
    </w:lvl>
    <w:lvl w:ilvl="1" w:tplc="38707272">
      <w:start w:val="1"/>
      <w:numFmt w:val="bullet"/>
      <w:lvlText w:val="○"/>
      <w:lvlJc w:val="left"/>
      <w:pPr>
        <w:ind w:left="1440" w:hanging="360"/>
      </w:pPr>
    </w:lvl>
    <w:lvl w:ilvl="2" w:tplc="DFBCC66A">
      <w:start w:val="1"/>
      <w:numFmt w:val="bullet"/>
      <w:lvlText w:val="■"/>
      <w:lvlJc w:val="left"/>
      <w:pPr>
        <w:ind w:left="2160" w:hanging="360"/>
      </w:pPr>
    </w:lvl>
    <w:lvl w:ilvl="3" w:tplc="4BC8BC26">
      <w:start w:val="1"/>
      <w:numFmt w:val="bullet"/>
      <w:lvlText w:val="●"/>
      <w:lvlJc w:val="left"/>
      <w:pPr>
        <w:ind w:left="2880" w:hanging="360"/>
      </w:pPr>
    </w:lvl>
    <w:lvl w:ilvl="4" w:tplc="9E4C35FC">
      <w:start w:val="1"/>
      <w:numFmt w:val="bullet"/>
      <w:lvlText w:val="○"/>
      <w:lvlJc w:val="left"/>
      <w:pPr>
        <w:ind w:left="3600" w:hanging="360"/>
      </w:pPr>
    </w:lvl>
    <w:lvl w:ilvl="5" w:tplc="8A404C00">
      <w:start w:val="1"/>
      <w:numFmt w:val="bullet"/>
      <w:lvlText w:val="■"/>
      <w:lvlJc w:val="left"/>
      <w:pPr>
        <w:ind w:left="4320" w:hanging="360"/>
      </w:pPr>
    </w:lvl>
    <w:lvl w:ilvl="6" w:tplc="EDE615FC">
      <w:start w:val="1"/>
      <w:numFmt w:val="bullet"/>
      <w:lvlText w:val="●"/>
      <w:lvlJc w:val="left"/>
      <w:pPr>
        <w:ind w:left="5040" w:hanging="360"/>
      </w:pPr>
    </w:lvl>
    <w:lvl w:ilvl="7" w:tplc="C00060D2">
      <w:start w:val="1"/>
      <w:numFmt w:val="bullet"/>
      <w:lvlText w:val="●"/>
      <w:lvlJc w:val="left"/>
      <w:pPr>
        <w:ind w:left="5760" w:hanging="360"/>
      </w:pPr>
    </w:lvl>
    <w:lvl w:ilvl="8" w:tplc="C6460BC2">
      <w:start w:val="1"/>
      <w:numFmt w:val="bullet"/>
      <w:lvlText w:val="●"/>
      <w:lvlJc w:val="left"/>
      <w:pPr>
        <w:ind w:left="6480" w:hanging="360"/>
      </w:pPr>
    </w:lvl>
  </w:abstractNum>
  <w:num w:numId="1" w16cid:durableId="4191057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52A0AD3"/>
    <w:rsid w:val="008631FF"/>
    <w:rsid w:val="00933170"/>
    <w:rsid w:val="00BA6DF7"/>
    <w:rsid w:val="052A0AD3"/>
    <w:rsid w:val="0BFDBACB"/>
    <w:rsid w:val="0D0F8478"/>
    <w:rsid w:val="0D90D196"/>
    <w:rsid w:val="115A5CB7"/>
    <w:rsid w:val="1B05553B"/>
    <w:rsid w:val="1C412EFC"/>
    <w:rsid w:val="21F8D9F5"/>
    <w:rsid w:val="22772ADC"/>
    <w:rsid w:val="22AD160B"/>
    <w:rsid w:val="2910FF85"/>
    <w:rsid w:val="302C37E1"/>
    <w:rsid w:val="3466CCCB"/>
    <w:rsid w:val="34BC9D46"/>
    <w:rsid w:val="35F58EF5"/>
    <w:rsid w:val="38EE889C"/>
    <w:rsid w:val="3C2EC84A"/>
    <w:rsid w:val="4430C856"/>
    <w:rsid w:val="4C64404C"/>
    <w:rsid w:val="4F01460E"/>
    <w:rsid w:val="4F96C719"/>
    <w:rsid w:val="5266561C"/>
    <w:rsid w:val="61044F4B"/>
    <w:rsid w:val="61CE2263"/>
    <w:rsid w:val="63458C7C"/>
    <w:rsid w:val="6925AC78"/>
    <w:rsid w:val="6C9DEA03"/>
    <w:rsid w:val="759912FB"/>
    <w:rsid w:val="7AF59978"/>
    <w:rsid w:val="7E69D3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CCEA32"/>
  <w15:docId w15:val="{328EC684-8A63-45BA-A310-A0385EA629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unhideWhenUsed/>
    <w:qFormat/>
    <w:pPr>
      <w:outlineLvl w:val="1"/>
    </w:pPr>
    <w:rPr>
      <w:color w:val="2E74B5"/>
      <w:sz w:val="26"/>
      <w:szCs w:val="26"/>
    </w:rPr>
  </w:style>
  <w:style w:type="paragraph" w:styleId="Heading3">
    <w:name w:val="heading 3"/>
    <w:basedOn w:val="Normal"/>
    <w:next w:val="Normal"/>
    <w:uiPriority w:val="9"/>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figma.com/design/Nl5cUjaZg4AMHIVm9GDwlA/Thesis-Sketch?node-id=0-1&amp;t=muOC6EJpJZKttCxb-1"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33</Pages>
  <Words>12805</Words>
  <Characters>72993</Characters>
  <Application>Microsoft Office Word</Application>
  <DocSecurity>0</DocSecurity>
  <Lines>608</Lines>
  <Paragraphs>171</Paragraphs>
  <ScaleCrop>false</ScaleCrop>
  <Company/>
  <LinksUpToDate>false</LinksUpToDate>
  <CharactersWithSpaces>85627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Mosfaiul Telot</cp:lastModifiedBy>
  <cp:revision>4</cp:revision>
  <dcterms:created xsi:type="dcterms:W3CDTF">2026-08-31T06:32:00Z</dcterms:created>
  <dcterms:modified xsi:type="dcterms:W3CDTF">2026-09-17T20:13:00Z</dcterms:modified>
</cp:coreProperties>
</file>