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A271" w14:textId="77777777" w:rsidR="00B74634" w:rsidRDefault="00000000">
      <w:pPr>
        <w:spacing w:after="40"/>
        <w:jc w:val="center"/>
      </w:pPr>
      <w:r>
        <w:rPr>
          <w:rFonts w:ascii="Calibri" w:eastAsia="Calibri" w:hAnsi="Calibri" w:cs="Calibri"/>
          <w:b/>
          <w:bCs/>
          <w:sz w:val="32"/>
          <w:szCs w:val="32"/>
        </w:rPr>
        <w:t>User Persona: Jamie Chen</w:t>
      </w:r>
    </w:p>
    <w:p w14:paraId="4427B16D" w14:textId="62E69560" w:rsidR="00B74634" w:rsidRDefault="00B74634">
      <w:pPr>
        <w:spacing w:after="240"/>
        <w:jc w:val="center"/>
      </w:pPr>
    </w:p>
    <w:tbl>
      <w:tblPr>
        <w:tblW w:w="5000" w:type="pct"/>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5037"/>
        <w:gridCol w:w="5037"/>
      </w:tblGrid>
      <w:tr w:rsidR="00B74634" w14:paraId="13F65165" w14:textId="77777777">
        <w:tc>
          <w:tcPr>
            <w:tcW w:w="2500" w:type="pct"/>
            <w:shd w:val="clear" w:color="auto" w:fill="F2F2F2"/>
            <w:tcMar>
              <w:top w:w="100" w:type="dxa"/>
              <w:left w:w="120" w:type="dxa"/>
              <w:bottom w:w="100" w:type="dxa"/>
              <w:right w:w="120" w:type="dxa"/>
            </w:tcMar>
          </w:tcPr>
          <w:p w14:paraId="41CE7D69" w14:textId="77777777" w:rsidR="00B74634" w:rsidRDefault="00000000">
            <w:r>
              <w:rPr>
                <w:rFonts w:ascii="Calibri" w:eastAsia="Calibri" w:hAnsi="Calibri" w:cs="Calibri"/>
                <w:b/>
                <w:bCs/>
              </w:rPr>
              <w:t xml:space="preserve">Age: </w:t>
            </w:r>
            <w:r>
              <w:rPr>
                <w:rFonts w:ascii="Calibri" w:eastAsia="Calibri" w:hAnsi="Calibri" w:cs="Calibri"/>
              </w:rPr>
              <w:t>19</w:t>
            </w:r>
          </w:p>
        </w:tc>
        <w:tc>
          <w:tcPr>
            <w:tcW w:w="2500" w:type="pct"/>
            <w:shd w:val="clear" w:color="auto" w:fill="F2F2F2"/>
            <w:tcMar>
              <w:top w:w="100" w:type="dxa"/>
              <w:left w:w="120" w:type="dxa"/>
              <w:bottom w:w="100" w:type="dxa"/>
              <w:right w:w="120" w:type="dxa"/>
            </w:tcMar>
          </w:tcPr>
          <w:p w14:paraId="29AE04AE" w14:textId="77777777" w:rsidR="00B74634" w:rsidRDefault="00000000">
            <w:r>
              <w:rPr>
                <w:rFonts w:ascii="Calibri" w:eastAsia="Calibri" w:hAnsi="Calibri" w:cs="Calibri"/>
                <w:b/>
                <w:bCs/>
              </w:rPr>
              <w:t xml:space="preserve">Location: </w:t>
            </w:r>
            <w:r>
              <w:rPr>
                <w:rFonts w:ascii="Calibri" w:eastAsia="Calibri" w:hAnsi="Calibri" w:cs="Calibri"/>
              </w:rPr>
              <w:t>Regina, Saskatchewan, Canada</w:t>
            </w:r>
          </w:p>
        </w:tc>
      </w:tr>
      <w:tr w:rsidR="00B74634" w14:paraId="1E38CE7A" w14:textId="77777777">
        <w:tc>
          <w:tcPr>
            <w:tcW w:w="2500" w:type="pct"/>
            <w:shd w:val="clear" w:color="auto" w:fill="F2F2F2"/>
            <w:tcMar>
              <w:top w:w="100" w:type="dxa"/>
              <w:left w:w="120" w:type="dxa"/>
              <w:bottom w:w="100" w:type="dxa"/>
              <w:right w:w="120" w:type="dxa"/>
            </w:tcMar>
          </w:tcPr>
          <w:p w14:paraId="6B9D3C6C" w14:textId="77777777" w:rsidR="00B74634" w:rsidRDefault="00000000">
            <w:r>
              <w:rPr>
                <w:rFonts w:ascii="Calibri" w:eastAsia="Calibri" w:hAnsi="Calibri" w:cs="Calibri"/>
                <w:b/>
                <w:bCs/>
              </w:rPr>
              <w:t xml:space="preserve">University: </w:t>
            </w:r>
            <w:r>
              <w:rPr>
                <w:rFonts w:ascii="Calibri" w:eastAsia="Calibri" w:hAnsi="Calibri" w:cs="Calibri"/>
              </w:rPr>
              <w:t>University of Regina</w:t>
            </w:r>
          </w:p>
        </w:tc>
        <w:tc>
          <w:tcPr>
            <w:tcW w:w="2500" w:type="pct"/>
            <w:shd w:val="clear" w:color="auto" w:fill="F2F2F2"/>
            <w:tcMar>
              <w:top w:w="100" w:type="dxa"/>
              <w:left w:w="120" w:type="dxa"/>
              <w:bottom w:w="100" w:type="dxa"/>
              <w:right w:w="120" w:type="dxa"/>
            </w:tcMar>
          </w:tcPr>
          <w:p w14:paraId="0A23E5F0" w14:textId="77777777" w:rsidR="00B74634" w:rsidRDefault="00000000">
            <w:r>
              <w:rPr>
                <w:rFonts w:ascii="Calibri" w:eastAsia="Calibri" w:hAnsi="Calibri" w:cs="Calibri"/>
                <w:b/>
                <w:bCs/>
              </w:rPr>
              <w:t xml:space="preserve">Year: </w:t>
            </w:r>
            <w:r>
              <w:rPr>
                <w:rFonts w:ascii="Calibri" w:eastAsia="Calibri" w:hAnsi="Calibri" w:cs="Calibri"/>
              </w:rPr>
              <w:t>First-year undergraduate</w:t>
            </w:r>
          </w:p>
        </w:tc>
      </w:tr>
      <w:tr w:rsidR="00B74634" w14:paraId="198D323C" w14:textId="77777777">
        <w:tc>
          <w:tcPr>
            <w:tcW w:w="2500" w:type="pct"/>
            <w:shd w:val="clear" w:color="auto" w:fill="F2F2F2"/>
            <w:tcMar>
              <w:top w:w="100" w:type="dxa"/>
              <w:left w:w="120" w:type="dxa"/>
              <w:bottom w:w="100" w:type="dxa"/>
              <w:right w:w="120" w:type="dxa"/>
            </w:tcMar>
          </w:tcPr>
          <w:p w14:paraId="0455F132" w14:textId="77777777" w:rsidR="00B74634" w:rsidRDefault="00000000">
            <w:r>
              <w:rPr>
                <w:rFonts w:ascii="Calibri" w:eastAsia="Calibri" w:hAnsi="Calibri" w:cs="Calibri"/>
                <w:b/>
                <w:bCs/>
              </w:rPr>
              <w:t xml:space="preserve">Program: </w:t>
            </w:r>
            <w:r>
              <w:rPr>
                <w:rFonts w:ascii="Calibri" w:eastAsia="Calibri" w:hAnsi="Calibri" w:cs="Calibri"/>
              </w:rPr>
              <w:t>B.A., Geography and Environmental Studies</w:t>
            </w:r>
          </w:p>
        </w:tc>
        <w:tc>
          <w:tcPr>
            <w:tcW w:w="2500" w:type="pct"/>
            <w:shd w:val="clear" w:color="auto" w:fill="F2F2F2"/>
            <w:tcMar>
              <w:top w:w="100" w:type="dxa"/>
              <w:left w:w="120" w:type="dxa"/>
              <w:bottom w:w="100" w:type="dxa"/>
              <w:right w:w="120" w:type="dxa"/>
            </w:tcMar>
          </w:tcPr>
          <w:p w14:paraId="7012BA97" w14:textId="77777777" w:rsidR="00B74634" w:rsidRDefault="00000000">
            <w:r>
              <w:rPr>
                <w:rFonts w:ascii="Calibri" w:eastAsia="Calibri" w:hAnsi="Calibri" w:cs="Calibri"/>
                <w:b/>
                <w:bCs/>
              </w:rPr>
              <w:t xml:space="preserve">Diagnosis: </w:t>
            </w:r>
            <w:r>
              <w:rPr>
                <w:rFonts w:ascii="Calibri" w:eastAsia="Calibri" w:hAnsi="Calibri" w:cs="Calibri"/>
              </w:rPr>
              <w:t>Dyslexia</w:t>
            </w:r>
          </w:p>
        </w:tc>
      </w:tr>
    </w:tbl>
    <w:p w14:paraId="58CCF98B" w14:textId="77777777" w:rsidR="00B74634" w:rsidRDefault="00B74634">
      <w:pPr>
        <w:spacing w:after="240"/>
      </w:pPr>
    </w:p>
    <w:p w14:paraId="4A8E29DB" w14:textId="77777777" w:rsidR="00B74634" w:rsidRDefault="00000000">
      <w:pPr>
        <w:pStyle w:val="Heading1"/>
        <w:spacing w:before="240" w:after="120"/>
      </w:pPr>
      <w:r>
        <w:rPr>
          <w:rFonts w:ascii="Calibri" w:eastAsia="Calibri" w:hAnsi="Calibri" w:cs="Calibri"/>
          <w:b/>
          <w:bCs/>
          <w:sz w:val="26"/>
          <w:szCs w:val="26"/>
        </w:rPr>
        <w:t>Bio</w:t>
      </w:r>
    </w:p>
    <w:p w14:paraId="2C27C34B" w14:textId="03086AEA" w:rsidR="005F333D" w:rsidRDefault="00FC15C1">
      <w:pPr>
        <w:pStyle w:val="Heading1"/>
        <w:spacing w:before="240" w:after="120"/>
        <w:rPr>
          <w:rFonts w:ascii="Calibri" w:eastAsia="Calibri" w:hAnsi="Calibri" w:cs="Calibri"/>
          <w:color w:val="auto"/>
          <w:sz w:val="22"/>
          <w:szCs w:val="22"/>
        </w:rPr>
      </w:pPr>
      <w:r w:rsidRPr="00FC15C1">
        <w:rPr>
          <w:rFonts w:ascii="Calibri" w:eastAsia="Calibri" w:hAnsi="Calibri" w:cs="Calibri"/>
          <w:color w:val="auto"/>
          <w:sz w:val="22"/>
          <w:szCs w:val="22"/>
        </w:rPr>
        <w:t xml:space="preserve">Jamie is a first-year student in the Geography and Environmental Studies program, currently working on a course project for an Urban Planning module: understanding how green spaces affect human well-being. Jamie is a capable student overall, but, consistent with research on this population, searching for sources specifically is where things get hard, not because Jamie can't read or isn't trying, but because Jamie's confidence about whether a search is actually going well tends to stay low and uncertain even after finding useful results (Beveridge, Makri, &amp; Macfarlane, 2022). Dyslexia is also commonly associated with working memory difficulties (Smith-Spark &amp; Fisk, 2007), which shape how Jamie experiences the search process specifically (MacFarlane, </w:t>
      </w:r>
      <w:proofErr w:type="spellStart"/>
      <w:r w:rsidRPr="00FC15C1">
        <w:rPr>
          <w:rFonts w:ascii="Calibri" w:eastAsia="Calibri" w:hAnsi="Calibri" w:cs="Calibri"/>
          <w:color w:val="auto"/>
          <w:sz w:val="22"/>
          <w:szCs w:val="22"/>
        </w:rPr>
        <w:t>Albrair</w:t>
      </w:r>
      <w:proofErr w:type="spellEnd"/>
      <w:r w:rsidRPr="00FC15C1">
        <w:rPr>
          <w:rFonts w:ascii="Calibri" w:eastAsia="Calibri" w:hAnsi="Calibri" w:cs="Calibri"/>
          <w:color w:val="auto"/>
          <w:sz w:val="22"/>
          <w:szCs w:val="22"/>
        </w:rPr>
        <w:t>, Marshall, &amp; Buchanan, 2012).</w:t>
      </w:r>
    </w:p>
    <w:p w14:paraId="36017E86" w14:textId="77777777" w:rsidR="00FC15C1" w:rsidRDefault="00FC15C1">
      <w:pPr>
        <w:pStyle w:val="Heading1"/>
        <w:spacing w:before="240" w:after="120"/>
        <w:rPr>
          <w:rFonts w:ascii="Calibri" w:eastAsia="Calibri" w:hAnsi="Calibri" w:cs="Calibri"/>
          <w:b/>
          <w:bCs/>
          <w:sz w:val="26"/>
          <w:szCs w:val="26"/>
        </w:rPr>
      </w:pPr>
    </w:p>
    <w:p w14:paraId="549CC5E2" w14:textId="5842E32D" w:rsidR="00B74634" w:rsidRDefault="003E5C16">
      <w:pPr>
        <w:pStyle w:val="Heading1"/>
        <w:spacing w:before="240" w:after="120"/>
      </w:pPr>
      <w:r>
        <w:rPr>
          <w:rFonts w:ascii="Calibri" w:eastAsia="Calibri" w:hAnsi="Calibri" w:cs="Calibri"/>
          <w:b/>
          <w:bCs/>
          <w:sz w:val="26"/>
          <w:szCs w:val="26"/>
        </w:rPr>
        <w:t>Behaviors</w:t>
      </w:r>
    </w:p>
    <w:p w14:paraId="259E3AEB" w14:textId="77777777" w:rsidR="00176DB1" w:rsidRPr="00176DB1" w:rsidRDefault="00176DB1">
      <w:pPr>
        <w:pStyle w:val="ListParagraph"/>
        <w:numPr>
          <w:ilvl w:val="0"/>
          <w:numId w:val="1"/>
        </w:numPr>
        <w:spacing w:after="100" w:line="264" w:lineRule="auto"/>
      </w:pPr>
      <w:r w:rsidRPr="00176DB1">
        <w:rPr>
          <w:rFonts w:ascii="Calibri" w:eastAsia="Calibri" w:hAnsi="Calibri" w:cs="Calibri"/>
          <w:sz w:val="22"/>
          <w:szCs w:val="22"/>
        </w:rPr>
        <w:t>Rereads and rewords a query several times before settling on one, often second-guessing whether the spelling or phrasing is right (Beveridge, Makri, &amp; Macfarlane, 2022).</w:t>
      </w:r>
    </w:p>
    <w:p w14:paraId="078E3433" w14:textId="77777777" w:rsidR="00176DB1" w:rsidRPr="00176DB1" w:rsidRDefault="00176DB1">
      <w:pPr>
        <w:pStyle w:val="ListParagraph"/>
        <w:numPr>
          <w:ilvl w:val="0"/>
          <w:numId w:val="1"/>
        </w:numPr>
        <w:spacing w:after="100" w:line="264" w:lineRule="auto"/>
      </w:pPr>
      <w:r w:rsidRPr="00176DB1">
        <w:rPr>
          <w:rFonts w:ascii="Calibri" w:eastAsia="Calibri" w:hAnsi="Calibri" w:cs="Calibri"/>
          <w:sz w:val="22"/>
          <w:szCs w:val="22"/>
        </w:rPr>
        <w:t>Prefers familiar, already-understood sources over new or unfamiliar ones, to avoid taking on additional uncertainty (Beveridge, Makri, &amp; Macfarlane, 2022).</w:t>
      </w:r>
    </w:p>
    <w:p w14:paraId="0FA088F5" w14:textId="77777777" w:rsidR="00FC15C1" w:rsidRPr="00FC15C1" w:rsidRDefault="00176DB1" w:rsidP="00FC15C1">
      <w:pPr>
        <w:pStyle w:val="ListParagraph"/>
        <w:numPr>
          <w:ilvl w:val="0"/>
          <w:numId w:val="1"/>
        </w:numPr>
        <w:spacing w:after="100" w:line="264" w:lineRule="auto"/>
      </w:pPr>
      <w:r w:rsidRPr="00176DB1">
        <w:rPr>
          <w:rFonts w:ascii="Calibri" w:eastAsia="Calibri" w:hAnsi="Calibri" w:cs="Calibri"/>
          <w:sz w:val="22"/>
          <w:szCs w:val="22"/>
        </w:rPr>
        <w:t>Avoids wide, exploratory reading, instead scanning or focusing reading effort on small sections of text at a time (Beveridge, Makri, &amp; Macfarlane, 2022).</w:t>
      </w:r>
    </w:p>
    <w:p w14:paraId="42E40481" w14:textId="4C8E7162" w:rsidR="00FC15C1" w:rsidRPr="00FC15C1" w:rsidRDefault="00FC15C1" w:rsidP="00FC15C1">
      <w:pPr>
        <w:pStyle w:val="ListParagraph"/>
        <w:numPr>
          <w:ilvl w:val="0"/>
          <w:numId w:val="1"/>
        </w:numPr>
        <w:spacing w:after="100" w:line="264" w:lineRule="auto"/>
      </w:pPr>
      <w:r w:rsidRPr="00FC15C1">
        <w:rPr>
          <w:rFonts w:ascii="Calibri" w:eastAsia="Calibri" w:hAnsi="Calibri" w:cs="Calibri"/>
          <w:sz w:val="22"/>
          <w:szCs w:val="22"/>
        </w:rPr>
        <w:t>Query formulation drifts toward whatever was just read rather than staying anchored to the original goal, especially as working memory gets taxed (Choi &amp; Arguello, 2025).</w:t>
      </w:r>
    </w:p>
    <w:p w14:paraId="13C8A448" w14:textId="77777777" w:rsidR="00FC15C1" w:rsidRDefault="00FC15C1">
      <w:pPr>
        <w:pStyle w:val="Heading1"/>
        <w:spacing w:before="240" w:after="120"/>
        <w:rPr>
          <w:rFonts w:ascii="Calibri" w:eastAsia="Calibri" w:hAnsi="Calibri" w:cs="Calibri"/>
          <w:b/>
          <w:bCs/>
          <w:sz w:val="26"/>
          <w:szCs w:val="26"/>
        </w:rPr>
      </w:pPr>
    </w:p>
    <w:p w14:paraId="39B7A5EC" w14:textId="1CB2D601" w:rsidR="00B74634" w:rsidRDefault="00000000">
      <w:pPr>
        <w:pStyle w:val="Heading1"/>
        <w:spacing w:before="240" w:after="120"/>
      </w:pPr>
      <w:r>
        <w:rPr>
          <w:rFonts w:ascii="Calibri" w:eastAsia="Calibri" w:hAnsi="Calibri" w:cs="Calibri"/>
          <w:b/>
          <w:bCs/>
          <w:sz w:val="26"/>
          <w:szCs w:val="26"/>
        </w:rPr>
        <w:t>Goals</w:t>
      </w:r>
    </w:p>
    <w:p w14:paraId="55652307" w14:textId="77777777" w:rsidR="00B74634" w:rsidRDefault="00000000">
      <w:pPr>
        <w:pStyle w:val="ListParagraph"/>
        <w:numPr>
          <w:ilvl w:val="0"/>
          <w:numId w:val="1"/>
        </w:numPr>
        <w:spacing w:after="100" w:line="264" w:lineRule="auto"/>
      </w:pPr>
      <w:r>
        <w:rPr>
          <w:rFonts w:ascii="Calibri" w:eastAsia="Calibri" w:hAnsi="Calibri" w:cs="Calibri"/>
          <w:sz w:val="22"/>
          <w:szCs w:val="22"/>
        </w:rPr>
        <w:t>Find a genuinely diverse set of good-quality sources on the assigned topic, not just the first few that come up.</w:t>
      </w:r>
    </w:p>
    <w:p w14:paraId="23FDAAA5" w14:textId="77777777" w:rsidR="00B74634" w:rsidRDefault="00000000">
      <w:pPr>
        <w:pStyle w:val="ListParagraph"/>
        <w:numPr>
          <w:ilvl w:val="0"/>
          <w:numId w:val="1"/>
        </w:numPr>
        <w:spacing w:after="100" w:line="264" w:lineRule="auto"/>
      </w:pPr>
      <w:r>
        <w:rPr>
          <w:rFonts w:ascii="Calibri" w:eastAsia="Calibri" w:hAnsi="Calibri" w:cs="Calibri"/>
          <w:sz w:val="22"/>
          <w:szCs w:val="22"/>
        </w:rPr>
        <w:t>Understand a new, multi-disciplinary topic well enough to write about it, without needing to fully read every source during the search itself.</w:t>
      </w:r>
    </w:p>
    <w:p w14:paraId="55885362" w14:textId="77777777" w:rsidR="00B74634" w:rsidRDefault="00000000">
      <w:pPr>
        <w:pStyle w:val="ListParagraph"/>
        <w:numPr>
          <w:ilvl w:val="0"/>
          <w:numId w:val="1"/>
        </w:numPr>
        <w:spacing w:after="100" w:line="264" w:lineRule="auto"/>
      </w:pPr>
      <w:r>
        <w:rPr>
          <w:rFonts w:ascii="Calibri" w:eastAsia="Calibri" w:hAnsi="Calibri" w:cs="Calibri"/>
          <w:sz w:val="22"/>
          <w:szCs w:val="22"/>
        </w:rPr>
        <w:t>Feel confident that a search is going well while it's happening, not only in hindsight.</w:t>
      </w:r>
    </w:p>
    <w:p w14:paraId="69F3AF77" w14:textId="77777777" w:rsidR="00B74634" w:rsidRDefault="00000000">
      <w:pPr>
        <w:pStyle w:val="ListParagraph"/>
        <w:numPr>
          <w:ilvl w:val="0"/>
          <w:numId w:val="1"/>
        </w:numPr>
        <w:spacing w:after="100" w:line="264" w:lineRule="auto"/>
      </w:pPr>
      <w:r>
        <w:rPr>
          <w:rFonts w:ascii="Calibri" w:eastAsia="Calibri" w:hAnsi="Calibri" w:cs="Calibri"/>
          <w:sz w:val="22"/>
          <w:szCs w:val="22"/>
        </w:rPr>
        <w:t>Be able to step away from a search and pick it back up later without losing track of what was already found or why.</w:t>
      </w:r>
    </w:p>
    <w:p w14:paraId="2D1126C0" w14:textId="77777777" w:rsidR="005F333D" w:rsidRDefault="005F333D">
      <w:pPr>
        <w:pStyle w:val="Heading1"/>
        <w:spacing w:before="240" w:after="120"/>
        <w:rPr>
          <w:rFonts w:ascii="Calibri" w:eastAsia="Calibri" w:hAnsi="Calibri" w:cs="Calibri"/>
          <w:b/>
          <w:bCs/>
          <w:sz w:val="26"/>
          <w:szCs w:val="26"/>
        </w:rPr>
      </w:pPr>
    </w:p>
    <w:p w14:paraId="449F5267" w14:textId="13530F50" w:rsidR="00B74634" w:rsidRDefault="00000000">
      <w:pPr>
        <w:pStyle w:val="Heading1"/>
        <w:spacing w:before="240" w:after="120"/>
      </w:pPr>
      <w:r>
        <w:rPr>
          <w:rFonts w:ascii="Calibri" w:eastAsia="Calibri" w:hAnsi="Calibri" w:cs="Calibri"/>
          <w:b/>
          <w:bCs/>
          <w:sz w:val="26"/>
          <w:szCs w:val="26"/>
        </w:rPr>
        <w:lastRenderedPageBreak/>
        <w:t>Pain Points</w:t>
      </w:r>
    </w:p>
    <w:p w14:paraId="2F292205" w14:textId="77777777" w:rsidR="00B74634" w:rsidRPr="003E5C16" w:rsidRDefault="00000000">
      <w:pPr>
        <w:pStyle w:val="ListParagraph"/>
        <w:numPr>
          <w:ilvl w:val="0"/>
          <w:numId w:val="1"/>
        </w:numPr>
        <w:spacing w:after="100" w:line="264" w:lineRule="auto"/>
        <w:rPr>
          <w:rFonts w:ascii="Calibri" w:eastAsia="Calibri" w:hAnsi="Calibri" w:cs="Calibri"/>
          <w:sz w:val="22"/>
          <w:szCs w:val="22"/>
        </w:rPr>
      </w:pPr>
      <w:r w:rsidRPr="003E5C16">
        <w:rPr>
          <w:rFonts w:ascii="Calibri" w:eastAsia="Calibri" w:hAnsi="Calibri" w:cs="Calibri"/>
          <w:sz w:val="22"/>
          <w:szCs w:val="22"/>
        </w:rPr>
        <w:t>Uncertainty about a search's progress persists rather than resolving, even after finding relevant material (Beveridge, Makri, &amp; Macfarlane, 2022).</w:t>
      </w:r>
    </w:p>
    <w:p w14:paraId="580AE32C" w14:textId="77777777" w:rsidR="00B74634" w:rsidRPr="003E5C16" w:rsidRDefault="00000000">
      <w:pPr>
        <w:pStyle w:val="ListParagraph"/>
        <w:numPr>
          <w:ilvl w:val="0"/>
          <w:numId w:val="1"/>
        </w:numPr>
        <w:spacing w:after="100" w:line="264" w:lineRule="auto"/>
        <w:rPr>
          <w:rFonts w:ascii="Calibri" w:eastAsia="Calibri" w:hAnsi="Calibri" w:cs="Calibri"/>
          <w:sz w:val="22"/>
          <w:szCs w:val="22"/>
        </w:rPr>
      </w:pPr>
      <w:r w:rsidRPr="003E5C16">
        <w:rPr>
          <w:rFonts w:ascii="Calibri" w:eastAsia="Calibri" w:hAnsi="Calibri" w:cs="Calibri"/>
          <w:sz w:val="22"/>
          <w:szCs w:val="22"/>
        </w:rPr>
        <w:t>Query formulation and spelling are a source of friction and self-doubt in themselves, before results even come back (Beveridge, Makri, &amp; Macfarlane, 2022).</w:t>
      </w:r>
    </w:p>
    <w:p w14:paraId="34B9E228" w14:textId="4CE479EA" w:rsidR="00B74634" w:rsidRPr="003E5C16" w:rsidRDefault="00000000">
      <w:pPr>
        <w:pStyle w:val="ListParagraph"/>
        <w:numPr>
          <w:ilvl w:val="0"/>
          <w:numId w:val="1"/>
        </w:numPr>
        <w:spacing w:after="100" w:line="264" w:lineRule="auto"/>
        <w:rPr>
          <w:rFonts w:ascii="Calibri" w:eastAsia="Calibri" w:hAnsi="Calibri" w:cs="Calibri"/>
          <w:sz w:val="22"/>
          <w:szCs w:val="22"/>
        </w:rPr>
      </w:pPr>
      <w:r w:rsidRPr="003E5C16">
        <w:rPr>
          <w:rFonts w:ascii="Calibri" w:eastAsia="Calibri" w:hAnsi="Calibri" w:cs="Calibri"/>
          <w:sz w:val="22"/>
          <w:szCs w:val="22"/>
        </w:rPr>
        <w:t>Judging whether a result is worth using currently means reading enough of it to decide, which is the most effortful part of the process (</w:t>
      </w:r>
      <w:r w:rsidR="00DA23E4" w:rsidRPr="003E5C16">
        <w:rPr>
          <w:rFonts w:ascii="Calibri" w:eastAsia="Calibri" w:hAnsi="Calibri" w:cs="Calibri"/>
          <w:sz w:val="22"/>
          <w:szCs w:val="22"/>
        </w:rPr>
        <w:t>Beveridge, Makri, &amp; Macfarlane, 2022</w:t>
      </w:r>
      <w:r w:rsidRPr="003E5C16">
        <w:rPr>
          <w:rFonts w:ascii="Calibri" w:eastAsia="Calibri" w:hAnsi="Calibri" w:cs="Calibri"/>
          <w:sz w:val="22"/>
          <w:szCs w:val="22"/>
        </w:rPr>
        <w:t>).</w:t>
      </w:r>
    </w:p>
    <w:p w14:paraId="5A25E3D5" w14:textId="77777777" w:rsidR="00B74634" w:rsidRPr="003E5C16" w:rsidRDefault="00000000">
      <w:pPr>
        <w:pStyle w:val="ListParagraph"/>
        <w:numPr>
          <w:ilvl w:val="0"/>
          <w:numId w:val="1"/>
        </w:numPr>
        <w:spacing w:after="100" w:line="264" w:lineRule="auto"/>
        <w:rPr>
          <w:rFonts w:ascii="Calibri" w:eastAsia="Calibri" w:hAnsi="Calibri" w:cs="Calibri"/>
          <w:sz w:val="22"/>
          <w:szCs w:val="22"/>
        </w:rPr>
      </w:pPr>
      <w:r w:rsidRPr="003E5C16">
        <w:rPr>
          <w:rFonts w:ascii="Calibri" w:eastAsia="Calibri" w:hAnsi="Calibri" w:cs="Calibri"/>
          <w:sz w:val="22"/>
          <w:szCs w:val="22"/>
        </w:rPr>
        <w:t>Holding the search goal, current query, and prior results in mind at the same time becomes harder the longer a session runs or after any interruption (Choi &amp; Arguello, 2025).</w:t>
      </w:r>
    </w:p>
    <w:p w14:paraId="7AA25145" w14:textId="5B1AB81C" w:rsidR="00B74634" w:rsidRDefault="003E5C16">
      <w:pPr>
        <w:pStyle w:val="ListParagraph"/>
        <w:numPr>
          <w:ilvl w:val="0"/>
          <w:numId w:val="1"/>
        </w:numPr>
        <w:spacing w:after="100" w:line="264" w:lineRule="auto"/>
        <w:rPr>
          <w:rFonts w:ascii="Calibri" w:eastAsia="Calibri" w:hAnsi="Calibri" w:cs="Calibri"/>
          <w:sz w:val="22"/>
          <w:szCs w:val="22"/>
        </w:rPr>
      </w:pPr>
      <w:r w:rsidRPr="003E5C16">
        <w:rPr>
          <w:rFonts w:ascii="Calibri" w:eastAsia="Calibri" w:hAnsi="Calibri" w:cs="Calibri"/>
          <w:sz w:val="22"/>
          <w:szCs w:val="22"/>
        </w:rPr>
        <w:t>Returning to a paused search takes real, effortful work</w:t>
      </w:r>
      <w:r>
        <w:rPr>
          <w:rFonts w:ascii="Calibri" w:eastAsia="Calibri" w:hAnsi="Calibri" w:cs="Calibri"/>
          <w:sz w:val="22"/>
          <w:szCs w:val="22"/>
        </w:rPr>
        <w:t xml:space="preserve"> (</w:t>
      </w:r>
      <w:r w:rsidRPr="003E5C16">
        <w:rPr>
          <w:rFonts w:ascii="Calibri" w:eastAsia="Calibri" w:hAnsi="Calibri" w:cs="Calibri"/>
          <w:sz w:val="22"/>
          <w:szCs w:val="22"/>
        </w:rPr>
        <w:t>re-reading saved material or redoing a search</w:t>
      </w:r>
      <w:r>
        <w:rPr>
          <w:rFonts w:ascii="Calibri" w:eastAsia="Calibri" w:hAnsi="Calibri" w:cs="Calibri"/>
          <w:sz w:val="22"/>
          <w:szCs w:val="22"/>
        </w:rPr>
        <w:t xml:space="preserve"> </w:t>
      </w:r>
      <w:r w:rsidRPr="003E5C16">
        <w:rPr>
          <w:rFonts w:ascii="Calibri" w:eastAsia="Calibri" w:hAnsi="Calibri" w:cs="Calibri"/>
          <w:sz w:val="22"/>
          <w:szCs w:val="22"/>
        </w:rPr>
        <w:t>rather than simply picking up where things left off</w:t>
      </w:r>
      <w:r>
        <w:rPr>
          <w:rFonts w:ascii="Calibri" w:eastAsia="Calibri" w:hAnsi="Calibri" w:cs="Calibri"/>
          <w:sz w:val="22"/>
          <w:szCs w:val="22"/>
        </w:rPr>
        <w:t>)</w:t>
      </w:r>
      <w:r w:rsidRPr="003E5C16">
        <w:rPr>
          <w:rFonts w:ascii="Calibri" w:eastAsia="Calibri" w:hAnsi="Calibri" w:cs="Calibri"/>
          <w:sz w:val="22"/>
          <w:szCs w:val="22"/>
        </w:rPr>
        <w:t xml:space="preserve"> to reacquaint oneself with what was already found</w:t>
      </w:r>
      <w:r w:rsidR="007E5E08" w:rsidRPr="003E5C16">
        <w:rPr>
          <w:rFonts w:ascii="Calibri" w:eastAsia="Calibri" w:hAnsi="Calibri" w:cs="Calibri"/>
          <w:sz w:val="22"/>
          <w:szCs w:val="22"/>
        </w:rPr>
        <w:t xml:space="preserve"> (Li et al., 2020)</w:t>
      </w:r>
      <w:r w:rsidRPr="003E5C16">
        <w:rPr>
          <w:rFonts w:ascii="Calibri" w:eastAsia="Calibri" w:hAnsi="Calibri" w:cs="Calibri"/>
          <w:sz w:val="22"/>
          <w:szCs w:val="22"/>
        </w:rPr>
        <w:t>, with no support for reconstructing that context (Hoeber, Islam, Boon, Storie, &amp; Ramshaw, 2026).</w:t>
      </w:r>
    </w:p>
    <w:p w14:paraId="08A4E987" w14:textId="2C3FC4E9" w:rsidR="003E5C16" w:rsidRPr="003E5C16" w:rsidRDefault="003E5C16">
      <w:pPr>
        <w:pStyle w:val="ListParagraph"/>
        <w:numPr>
          <w:ilvl w:val="0"/>
          <w:numId w:val="1"/>
        </w:numPr>
        <w:spacing w:after="100" w:line="264" w:lineRule="auto"/>
        <w:rPr>
          <w:rFonts w:ascii="Calibri" w:eastAsia="Calibri" w:hAnsi="Calibri" w:cs="Calibri"/>
          <w:sz w:val="22"/>
          <w:szCs w:val="22"/>
        </w:rPr>
      </w:pPr>
      <w:r w:rsidRPr="003E5C16">
        <w:rPr>
          <w:rFonts w:ascii="Calibri" w:eastAsia="Calibri" w:hAnsi="Calibri" w:cs="Calibri"/>
          <w:sz w:val="22"/>
          <w:szCs w:val="22"/>
        </w:rPr>
        <w:t xml:space="preserve">Continuing a paused search usually demands </w:t>
      </w:r>
      <w:r w:rsidR="0079273D" w:rsidRPr="0079273D">
        <w:rPr>
          <w:rFonts w:ascii="Calibri" w:eastAsia="Calibri" w:hAnsi="Calibri" w:cs="Calibri"/>
          <w:sz w:val="22"/>
          <w:szCs w:val="22"/>
        </w:rPr>
        <w:t xml:space="preserve">higher-level cognitive activities including </w:t>
      </w:r>
      <w:r w:rsidR="0079273D">
        <w:rPr>
          <w:rFonts w:ascii="Calibri" w:eastAsia="Calibri" w:hAnsi="Calibri" w:cs="Calibri"/>
          <w:sz w:val="22"/>
          <w:szCs w:val="22"/>
        </w:rPr>
        <w:t xml:space="preserve">evaluating applying or </w:t>
      </w:r>
      <w:r w:rsidR="0079273D" w:rsidRPr="0079273D">
        <w:rPr>
          <w:rFonts w:ascii="Calibri" w:eastAsia="Calibri" w:hAnsi="Calibri" w:cs="Calibri"/>
          <w:sz w:val="22"/>
          <w:szCs w:val="22"/>
        </w:rPr>
        <w:t>analyzing.</w:t>
      </w:r>
      <w:r w:rsidRPr="003E5C16">
        <w:rPr>
          <w:rFonts w:ascii="Calibri" w:eastAsia="Calibri" w:hAnsi="Calibri" w:cs="Calibri"/>
          <w:sz w:val="22"/>
          <w:szCs w:val="22"/>
        </w:rPr>
        <w:t xml:space="preserve"> (Li, Ward, &amp; Capra, 2021).</w:t>
      </w:r>
    </w:p>
    <w:p w14:paraId="06E5B0A3" w14:textId="77777777" w:rsidR="005F333D" w:rsidRDefault="005F333D">
      <w:pPr>
        <w:pStyle w:val="Heading1"/>
        <w:spacing w:before="240" w:after="120"/>
        <w:rPr>
          <w:rFonts w:ascii="Calibri" w:eastAsia="Calibri" w:hAnsi="Calibri" w:cs="Calibri"/>
          <w:b/>
          <w:bCs/>
          <w:sz w:val="26"/>
          <w:szCs w:val="26"/>
        </w:rPr>
      </w:pPr>
    </w:p>
    <w:p w14:paraId="5CA50044" w14:textId="0C7BDD4E" w:rsidR="00B74634" w:rsidRDefault="005F333D">
      <w:pPr>
        <w:pStyle w:val="Heading1"/>
        <w:spacing w:before="240" w:after="120"/>
      </w:pPr>
      <w:r>
        <w:rPr>
          <w:rFonts w:ascii="Calibri" w:eastAsia="Calibri" w:hAnsi="Calibri" w:cs="Calibri"/>
          <w:b/>
          <w:bCs/>
          <w:sz w:val="26"/>
          <w:szCs w:val="26"/>
        </w:rPr>
        <w:t>References</w:t>
      </w:r>
    </w:p>
    <w:p w14:paraId="410818B4" w14:textId="028CC1DC" w:rsidR="00B74634" w:rsidRPr="00FC15C1" w:rsidRDefault="00FC15C1" w:rsidP="00FC15C1">
      <w:pPr>
        <w:spacing w:line="252" w:lineRule="auto"/>
        <w:ind w:left="431" w:hanging="431"/>
        <w:rPr>
          <w:rFonts w:ascii="Calibri" w:eastAsia="Calibri" w:hAnsi="Calibri" w:cs="Calibri"/>
        </w:rPr>
      </w:pPr>
      <w:r>
        <w:rPr>
          <w:rFonts w:ascii="Calibri" w:eastAsia="Calibri" w:hAnsi="Calibri" w:cs="Calibri"/>
        </w:rPr>
        <w:t>[1]</w:t>
      </w:r>
      <w:r>
        <w:rPr>
          <w:rFonts w:ascii="Calibri" w:eastAsia="Calibri" w:hAnsi="Calibri" w:cs="Calibri"/>
        </w:rPr>
        <w:tab/>
      </w:r>
      <w:r w:rsidRPr="00FC15C1">
        <w:rPr>
          <w:rFonts w:ascii="Calibri" w:eastAsia="Calibri" w:hAnsi="Calibri" w:cs="Calibri"/>
        </w:rPr>
        <w:t xml:space="preserve">Beveridge, L., Makri, S., &amp; Macfarlane, A. (2022). “I'm just not sure.” The persistence of uncertainty in the information seeking of undergraduate students with dyslexia. Information Research, 27(Special Issue), ISIC 2022. </w:t>
      </w:r>
      <w:hyperlink r:id="rId5" w:history="1">
        <w:r w:rsidRPr="00FC15C1">
          <w:rPr>
            <w:rStyle w:val="Hyperlink"/>
            <w:rFonts w:ascii="Calibri" w:eastAsia="Calibri" w:hAnsi="Calibri" w:cs="Calibri"/>
          </w:rPr>
          <w:t>https://doi.org/10.47989/irisic2207</w:t>
        </w:r>
      </w:hyperlink>
    </w:p>
    <w:p w14:paraId="05044D9F" w14:textId="4E80CB29" w:rsidR="00FC15C1" w:rsidRPr="00FC15C1" w:rsidRDefault="00FC15C1" w:rsidP="00B30ADA">
      <w:pPr>
        <w:spacing w:line="252" w:lineRule="auto"/>
        <w:ind w:left="431" w:hanging="431"/>
        <w:rPr>
          <w:rFonts w:ascii="Calibri" w:hAnsi="Calibri" w:cs="Calibri"/>
        </w:rPr>
      </w:pPr>
      <w:r w:rsidRPr="00FC15C1">
        <w:rPr>
          <w:rFonts w:ascii="Calibri" w:hAnsi="Calibri" w:cs="Calibri"/>
        </w:rPr>
        <w:t>[2]</w:t>
      </w:r>
      <w:r w:rsidRPr="00FC15C1">
        <w:rPr>
          <w:rFonts w:ascii="Calibri" w:hAnsi="Calibri" w:cs="Calibri"/>
        </w:rPr>
        <w:tab/>
      </w:r>
      <w:r w:rsidR="00B30ADA" w:rsidRPr="00FC15C1">
        <w:rPr>
          <w:rFonts w:ascii="Calibri" w:hAnsi="Calibri" w:cs="Calibri"/>
        </w:rPr>
        <w:t>Smith-Spark, J. H., &amp; Fisk, J. E. (2007). Working memory functioning in developmental dyslexia. Memory, 15(1), 34–56</w:t>
      </w:r>
    </w:p>
    <w:p w14:paraId="1199DEAB" w14:textId="77777777" w:rsidR="00FC15C1" w:rsidRPr="00FC15C1" w:rsidRDefault="00FC15C1" w:rsidP="00FC15C1">
      <w:pPr>
        <w:spacing w:line="252" w:lineRule="auto"/>
        <w:ind w:left="431" w:hanging="431"/>
        <w:rPr>
          <w:rFonts w:ascii="Calibri" w:hAnsi="Calibri" w:cs="Calibri"/>
        </w:rPr>
      </w:pPr>
      <w:r w:rsidRPr="00FC15C1">
        <w:rPr>
          <w:rFonts w:ascii="Calibri" w:hAnsi="Calibri" w:cs="Calibri"/>
        </w:rPr>
        <w:t>[3]</w:t>
      </w:r>
      <w:r w:rsidRPr="00FC15C1">
        <w:rPr>
          <w:rFonts w:ascii="Calibri" w:hAnsi="Calibri" w:cs="Calibri"/>
        </w:rPr>
        <w:tab/>
        <w:t xml:space="preserve">MacFarlane, A., </w:t>
      </w:r>
      <w:proofErr w:type="spellStart"/>
      <w:r w:rsidRPr="00FC15C1">
        <w:rPr>
          <w:rFonts w:ascii="Calibri" w:hAnsi="Calibri" w:cs="Calibri"/>
        </w:rPr>
        <w:t>Albrair</w:t>
      </w:r>
      <w:proofErr w:type="spellEnd"/>
      <w:r w:rsidRPr="00FC15C1">
        <w:rPr>
          <w:rFonts w:ascii="Calibri" w:hAnsi="Calibri" w:cs="Calibri"/>
        </w:rPr>
        <w:t>, A., Marshall, C. R., &amp; Buchanan, G. (2012). Phonological working memory impacts on information searching: An investigation of dyslexia. In Proceedings of the 4th Information Interaction in Context Symposium. ACM.</w:t>
      </w:r>
    </w:p>
    <w:p w14:paraId="6EA88FB9" w14:textId="7605EE8E" w:rsidR="00B74634" w:rsidRPr="00FC15C1" w:rsidRDefault="00FC15C1" w:rsidP="00FC15C1">
      <w:pPr>
        <w:spacing w:line="252" w:lineRule="auto"/>
        <w:ind w:left="431" w:hanging="431"/>
        <w:rPr>
          <w:rFonts w:ascii="Calibri" w:hAnsi="Calibri" w:cs="Calibri"/>
        </w:rPr>
      </w:pPr>
      <w:r w:rsidRPr="00FC15C1">
        <w:rPr>
          <w:rFonts w:ascii="Calibri" w:eastAsia="Calibri" w:hAnsi="Calibri" w:cs="Calibri"/>
        </w:rPr>
        <w:t>[4]</w:t>
      </w:r>
      <w:r w:rsidRPr="00FC15C1">
        <w:rPr>
          <w:rFonts w:ascii="Calibri" w:eastAsia="Calibri" w:hAnsi="Calibri" w:cs="Calibri"/>
        </w:rPr>
        <w:tab/>
        <w:t>Choi, B., &amp; Arguello, J. (2025). The Effects of Working Memory during a Search and Sensemaking Task. Proceedings of the 2025 ACM SIGIR Conference on Human Information Interaction and Retrieval (CHIIR '25).</w:t>
      </w:r>
    </w:p>
    <w:p w14:paraId="31448597" w14:textId="77777777" w:rsidR="00B30ADA" w:rsidRDefault="00FC15C1" w:rsidP="00FC15C1">
      <w:pPr>
        <w:spacing w:line="252" w:lineRule="auto"/>
        <w:ind w:left="431" w:hanging="431"/>
        <w:rPr>
          <w:rFonts w:ascii="Calibri" w:eastAsia="Calibri" w:hAnsi="Calibri" w:cs="Calibri"/>
        </w:rPr>
      </w:pPr>
      <w:r w:rsidRPr="00FC15C1">
        <w:rPr>
          <w:rFonts w:ascii="Calibri" w:eastAsia="Calibri" w:hAnsi="Calibri" w:cs="Calibri"/>
        </w:rPr>
        <w:t>[5]</w:t>
      </w:r>
      <w:r w:rsidRPr="00FC15C1">
        <w:rPr>
          <w:rFonts w:ascii="Calibri" w:eastAsia="Calibri" w:hAnsi="Calibri" w:cs="Calibri"/>
        </w:rPr>
        <w:tab/>
      </w:r>
      <w:r w:rsidR="00B30ADA" w:rsidRPr="00FC15C1">
        <w:rPr>
          <w:rFonts w:ascii="Calibri" w:eastAsia="Calibri" w:hAnsi="Calibri" w:cs="Calibri"/>
        </w:rPr>
        <w:t xml:space="preserve">Li, Y., et al. (2020). Everyday Cross-session Search: How and Why Do People Search Across Multiple Sessions. Proceedings of the 2020 Conference on Human Information Interaction and Retrieval (CHIIR '20). </w:t>
      </w:r>
    </w:p>
    <w:p w14:paraId="3F1204CA" w14:textId="6D2B4D61" w:rsidR="00B74634" w:rsidRDefault="00FC15C1" w:rsidP="00FC15C1">
      <w:pPr>
        <w:spacing w:line="252" w:lineRule="auto"/>
        <w:ind w:left="431" w:hanging="431"/>
        <w:rPr>
          <w:rFonts w:ascii="Calibri" w:eastAsia="Calibri" w:hAnsi="Calibri" w:cs="Calibri"/>
        </w:rPr>
      </w:pPr>
      <w:r w:rsidRPr="00FC15C1">
        <w:rPr>
          <w:rFonts w:ascii="Calibri" w:eastAsia="Calibri" w:hAnsi="Calibri" w:cs="Calibri"/>
        </w:rPr>
        <w:t>[6]</w:t>
      </w:r>
      <w:r w:rsidRPr="00FC15C1">
        <w:rPr>
          <w:rFonts w:ascii="Calibri" w:eastAsia="Calibri" w:hAnsi="Calibri" w:cs="Calibri"/>
        </w:rPr>
        <w:tab/>
      </w:r>
      <w:r w:rsidR="00B30ADA" w:rsidRPr="00FC15C1">
        <w:rPr>
          <w:rFonts w:ascii="Calibri" w:eastAsia="Calibri" w:hAnsi="Calibri" w:cs="Calibri"/>
        </w:rPr>
        <w:t>Hoeber, O., Islam, M. N., Boon, M., Storie, D., &amp; Ramshaw, V. (2026). Search Timelines: Visualizing Search History to Enable Cross-Session Exploratory Search. International Journal on Digital Libraries.</w:t>
      </w:r>
    </w:p>
    <w:p w14:paraId="7F509E7F" w14:textId="16BCA2D5" w:rsidR="00B30ADA" w:rsidRPr="00FC15C1" w:rsidRDefault="00B30ADA" w:rsidP="00FC15C1">
      <w:pPr>
        <w:spacing w:line="252" w:lineRule="auto"/>
        <w:ind w:left="431" w:hanging="431"/>
        <w:rPr>
          <w:rFonts w:ascii="Calibri" w:hAnsi="Calibri" w:cs="Calibri"/>
        </w:rPr>
      </w:pPr>
      <w:r>
        <w:rPr>
          <w:rFonts w:ascii="Calibri" w:eastAsia="Calibri" w:hAnsi="Calibri" w:cs="Calibri"/>
        </w:rPr>
        <w:t>[7]</w:t>
      </w:r>
      <w:r>
        <w:rPr>
          <w:rFonts w:ascii="Calibri" w:eastAsia="Calibri" w:hAnsi="Calibri" w:cs="Calibri"/>
        </w:rPr>
        <w:tab/>
      </w:r>
      <w:r w:rsidRPr="00B30ADA">
        <w:rPr>
          <w:rFonts w:ascii="Calibri" w:eastAsia="Calibri" w:hAnsi="Calibri" w:cs="Calibri"/>
        </w:rPr>
        <w:t xml:space="preserve">Li, Y., Ward, A. R., &amp; Capra, R. (2021). An analysis of information types and cognitive activities involved in cross-session search. In </w:t>
      </w:r>
      <w:r w:rsidRPr="00B30ADA">
        <w:rPr>
          <w:rFonts w:ascii="Calibri" w:eastAsia="Calibri" w:hAnsi="Calibri" w:cs="Calibri"/>
          <w:i/>
          <w:iCs/>
        </w:rPr>
        <w:t>Proceedings of the 2021 ACM SIGIR Conference on Human Information Interaction and Retrieval</w:t>
      </w:r>
      <w:r w:rsidRPr="00B30ADA">
        <w:rPr>
          <w:rFonts w:ascii="Calibri" w:eastAsia="Calibri" w:hAnsi="Calibri" w:cs="Calibri"/>
        </w:rPr>
        <w:t xml:space="preserve"> (CHIIR '21), March 14–19, 2021, Canberra, ACT, Australia (pp. 313–317). ACM. </w:t>
      </w:r>
      <w:hyperlink r:id="rId6" w:history="1">
        <w:r w:rsidRPr="00B30ADA">
          <w:rPr>
            <w:rStyle w:val="Hyperlink"/>
            <w:rFonts w:ascii="Calibri" w:eastAsia="Calibri" w:hAnsi="Calibri" w:cs="Calibri"/>
          </w:rPr>
          <w:t>https://doi.org/10.1145/3406522.3446044</w:t>
        </w:r>
      </w:hyperlink>
    </w:p>
    <w:sectPr w:rsidR="00B30ADA" w:rsidRPr="00FC15C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A48D5"/>
    <w:multiLevelType w:val="hybridMultilevel"/>
    <w:tmpl w:val="79C62892"/>
    <w:lvl w:ilvl="0" w:tplc="AEC2D896">
      <w:start w:val="1"/>
      <w:numFmt w:val="bullet"/>
      <w:lvlText w:val="●"/>
      <w:lvlJc w:val="left"/>
      <w:pPr>
        <w:ind w:left="720" w:hanging="360"/>
      </w:pPr>
    </w:lvl>
    <w:lvl w:ilvl="1" w:tplc="A14A433E">
      <w:start w:val="1"/>
      <w:numFmt w:val="bullet"/>
      <w:lvlText w:val="○"/>
      <w:lvlJc w:val="left"/>
      <w:pPr>
        <w:ind w:left="1440" w:hanging="360"/>
      </w:pPr>
    </w:lvl>
    <w:lvl w:ilvl="2" w:tplc="2318985E">
      <w:start w:val="1"/>
      <w:numFmt w:val="bullet"/>
      <w:lvlText w:val="■"/>
      <w:lvlJc w:val="left"/>
      <w:pPr>
        <w:ind w:left="2160" w:hanging="360"/>
      </w:pPr>
    </w:lvl>
    <w:lvl w:ilvl="3" w:tplc="E0C0BD34">
      <w:start w:val="1"/>
      <w:numFmt w:val="bullet"/>
      <w:lvlText w:val="●"/>
      <w:lvlJc w:val="left"/>
      <w:pPr>
        <w:ind w:left="2880" w:hanging="360"/>
      </w:pPr>
    </w:lvl>
    <w:lvl w:ilvl="4" w:tplc="1E1684C6">
      <w:start w:val="1"/>
      <w:numFmt w:val="bullet"/>
      <w:lvlText w:val="○"/>
      <w:lvlJc w:val="left"/>
      <w:pPr>
        <w:ind w:left="3600" w:hanging="360"/>
      </w:pPr>
    </w:lvl>
    <w:lvl w:ilvl="5" w:tplc="3058025E">
      <w:start w:val="1"/>
      <w:numFmt w:val="bullet"/>
      <w:lvlText w:val="■"/>
      <w:lvlJc w:val="left"/>
      <w:pPr>
        <w:ind w:left="4320" w:hanging="360"/>
      </w:pPr>
    </w:lvl>
    <w:lvl w:ilvl="6" w:tplc="21E81B9C">
      <w:start w:val="1"/>
      <w:numFmt w:val="bullet"/>
      <w:lvlText w:val="●"/>
      <w:lvlJc w:val="left"/>
      <w:pPr>
        <w:ind w:left="5040" w:hanging="360"/>
      </w:pPr>
    </w:lvl>
    <w:lvl w:ilvl="7" w:tplc="A12E0B5A">
      <w:start w:val="1"/>
      <w:numFmt w:val="bullet"/>
      <w:lvlText w:val="●"/>
      <w:lvlJc w:val="left"/>
      <w:pPr>
        <w:ind w:left="5760" w:hanging="360"/>
      </w:pPr>
    </w:lvl>
    <w:lvl w:ilvl="8" w:tplc="E06C25BC">
      <w:start w:val="1"/>
      <w:numFmt w:val="bullet"/>
      <w:lvlText w:val="●"/>
      <w:lvlJc w:val="left"/>
      <w:pPr>
        <w:ind w:left="6480" w:hanging="360"/>
      </w:pPr>
    </w:lvl>
  </w:abstractNum>
  <w:num w:numId="1" w16cid:durableId="1771966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634"/>
    <w:rsid w:val="00176DB1"/>
    <w:rsid w:val="003B3D1E"/>
    <w:rsid w:val="003E5C16"/>
    <w:rsid w:val="005E6E28"/>
    <w:rsid w:val="005F333D"/>
    <w:rsid w:val="006A31B0"/>
    <w:rsid w:val="0079273D"/>
    <w:rsid w:val="007E5E08"/>
    <w:rsid w:val="00813622"/>
    <w:rsid w:val="00A74CFC"/>
    <w:rsid w:val="00AA4F7A"/>
    <w:rsid w:val="00B30ADA"/>
    <w:rsid w:val="00B663D9"/>
    <w:rsid w:val="00B74634"/>
    <w:rsid w:val="00C714D2"/>
    <w:rsid w:val="00DA23E4"/>
    <w:rsid w:val="00FC1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51FB"/>
  <w15:docId w15:val="{FD398BF0-5CB2-4CBD-808E-5FEF1E90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C1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406522.3446044" TargetMode="External"/><Relationship Id="rId5" Type="http://schemas.openxmlformats.org/officeDocument/2006/relationships/hyperlink" Target="https://doi.org/10.47989/irisic22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Mosfaiul Telot</cp:lastModifiedBy>
  <cp:revision>3</cp:revision>
  <dcterms:created xsi:type="dcterms:W3CDTF">2026-09-14T18:26:00Z</dcterms:created>
  <dcterms:modified xsi:type="dcterms:W3CDTF">2026-09-14T18:27:00Z</dcterms:modified>
</cp:coreProperties>
</file>