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User Persona: Jamie</w:t>
      </w:r>
    </w:p>
    <w:p>
      <w:pPr>
        <w:spacing w:after="240"/>
        <w:jc w:val="center"/>
      </w:pPr>
      <w:r>
        <w:rPr>
          <w:rFonts w:ascii="Calibri" w:cs="Calibri" w:eastAsia="Calibri" w:hAnsi="Calibri"/>
          <w:i/>
          <w:iCs/>
          <w:sz w:val="20"/>
          <w:szCs w:val="20"/>
        </w:rPr>
        <w:t xml:space="preserve">A hypothetical representative user for this thesis's target population</w:t>
      </w:r>
    </w:p>
    <w:p>
      <w:pPr>
        <w:pStyle w:val="Heading1"/>
        <w:spacing w:after="120" w:before="240"/>
      </w:pPr>
      <w:r>
        <w:rPr>
          <w:rFonts w:ascii="Calibri" w:cs="Calibri" w:eastAsia="Calibri" w:hAnsi="Calibri"/>
          <w:b/>
          <w:bCs/>
          <w:sz w:val="26"/>
          <w:szCs w:val="26"/>
        </w:rPr>
        <w:t xml:space="preserve">Who Jamie Is</w:t>
      </w:r>
    </w:p>
    <w:p>
      <w:pPr>
        <w:spacing w:after="160" w:line="264"/>
      </w:pPr>
      <w:r>
        <w:rPr>
          <w:rFonts w:ascii="Calibri" w:cs="Calibri" w:eastAsia="Calibri" w:hAnsi="Calibri"/>
          <w:sz w:val="22"/>
          <w:szCs w:val="22"/>
        </w:rPr>
        <w:t xml:space="preserve">Jamie is a first-year undergraduate student at a Canadian university, diagnosed with dyslexia. Jamie is a capable student overall, but, consistent with research on this population, search specifically is an area where Jamie tends to feel uncertain rather than confident, particularly when choosing search terms and judging whether a source is worth using (Beveridge, Makri, &amp; MacFarlane, n.d.).</w:t>
      </w:r>
    </w:p>
    <w:p>
      <w:pPr>
        <w:pStyle w:val="Heading1"/>
        <w:spacing w:after="120" w:before="240"/>
      </w:pPr>
      <w:r>
        <w:rPr>
          <w:rFonts w:ascii="Calibri" w:cs="Calibri" w:eastAsia="Calibri" w:hAnsi="Calibri"/>
          <w:b/>
          <w:bCs/>
          <w:sz w:val="26"/>
          <w:szCs w:val="26"/>
        </w:rPr>
        <w:t xml:space="preserve">Key Needs and Behaviours</w:t>
      </w:r>
    </w:p>
    <w:p>
      <w:pPr>
        <w:pStyle w:val="ListParagraph"/>
        <w:numPr>
          <w:ilvl w:val="0"/>
          <w:numId w:val="1"/>
        </w:numPr>
        <w:spacing w:after="100" w:line="264"/>
      </w:pPr>
      <w:r>
        <w:rPr>
          <w:rFonts w:ascii="Calibri" w:cs="Calibri" w:eastAsia="Calibri" w:hAnsi="Calibri"/>
          <w:b/>
          <w:bCs/>
          <w:sz w:val="22"/>
          <w:szCs w:val="22"/>
        </w:rPr>
        <w:t xml:space="preserve">Low confidence in query formulation and evaluation, not lack of effort. </w:t>
      </w:r>
      <w:r>
        <w:rPr>
          <w:rFonts w:ascii="Calibri" w:cs="Calibri" w:eastAsia="Calibri" w:hAnsi="Calibri"/>
          <w:sz w:val="22"/>
          <w:szCs w:val="22"/>
        </w:rPr>
        <w:t xml:space="preserve">Jamie's uncertainty about whether a search is going well tends to persist rather than resolve as the search continues, and this shows up specifically around selecting/spelling keywords and evaluating found information, not around motivation or effort (Beveridge, Makri, &amp; MacFarlane, n.d.).</w:t>
      </w:r>
    </w:p>
    <w:p>
      <w:pPr>
        <w:pStyle w:val="ListParagraph"/>
        <w:numPr>
          <w:ilvl w:val="0"/>
          <w:numId w:val="1"/>
        </w:numPr>
        <w:spacing w:after="100" w:line="264"/>
      </w:pPr>
      <w:r>
        <w:rPr>
          <w:rFonts w:ascii="Calibri" w:cs="Calibri" w:eastAsia="Calibri" w:hAnsi="Calibri"/>
          <w:b/>
          <w:bCs/>
          <w:sz w:val="22"/>
          <w:szCs w:val="22"/>
        </w:rPr>
        <w:t xml:space="preserve">Difficulty holding search context in mind, especially across a pause. </w:t>
      </w:r>
      <w:r>
        <w:rPr>
          <w:rFonts w:ascii="Calibri" w:cs="Calibri" w:eastAsia="Calibri" w:hAnsi="Calibri"/>
          <w:sz w:val="22"/>
          <w:szCs w:val="22"/>
        </w:rPr>
        <w:t xml:space="preserve">Working memory capacity affects how searchers plan, monitor, and evaluate progress during a complex search task, and Jamie can find it hard to keep the search goal, the current query, and previously found results in mind at once, especially after stepping away (Choi &amp; Arguello, 2025).</w:t>
      </w:r>
    </w:p>
    <w:p>
      <w:pPr>
        <w:pStyle w:val="ListParagraph"/>
        <w:numPr>
          <w:ilvl w:val="0"/>
          <w:numId w:val="1"/>
        </w:numPr>
        <w:spacing w:after="100" w:line="264"/>
      </w:pPr>
      <w:r>
        <w:rPr>
          <w:rFonts w:ascii="Calibri" w:cs="Calibri" w:eastAsia="Calibri" w:hAnsi="Calibri"/>
          <w:b/>
          <w:bCs/>
          <w:sz w:val="22"/>
          <w:szCs w:val="22"/>
        </w:rPr>
        <w:t xml:space="preserve">Search sessions end for ordinary reasons, and resuming has real cost. </w:t>
      </w:r>
      <w:r>
        <w:rPr>
          <w:rFonts w:ascii="Calibri" w:cs="Calibri" w:eastAsia="Calibri" w:hAnsi="Calibri"/>
          <w:sz w:val="22"/>
          <w:szCs w:val="22"/>
        </w:rPr>
        <w:t xml:space="preserve">Like most searchers, Jamie stops a session for a mix of task reasons (found enough for now, needs to process what was found) and non-task reasons (needs to do something else, fatigue, distraction), and picking the search back up later means re-establishing what was already found and why (Li et al., 2020).</w:t>
      </w:r>
    </w:p>
    <w:p>
      <w:pPr>
        <w:pStyle w:val="ListParagraph"/>
        <w:numPr>
          <w:ilvl w:val="0"/>
          <w:numId w:val="1"/>
        </w:numPr>
        <w:spacing w:after="100" w:line="264"/>
      </w:pPr>
      <w:r>
        <w:rPr>
          <w:rFonts w:ascii="Calibri" w:cs="Calibri" w:eastAsia="Calibri" w:hAnsi="Calibri"/>
          <w:b/>
          <w:bCs/>
          <w:sz w:val="22"/>
          <w:szCs w:val="22"/>
        </w:rPr>
        <w:t xml:space="preserve">Reads accurately, but text-heavy interfaces add friction. </w:t>
      </w:r>
      <w:r>
        <w:rPr>
          <w:rFonts w:ascii="Calibri" w:cs="Calibri" w:eastAsia="Calibri" w:hAnsi="Calibri"/>
          <w:sz w:val="22"/>
          <w:szCs w:val="22"/>
        </w:rPr>
        <w:t xml:space="preserve">Font, spacing, and layout choices measurably affect on-screen reading ease for people with dyslexia, so a dense, text-heavy results page costs Jamie more effort than a visually clear one (Rello &amp; Baeza-Yates, 2016).</w:t>
      </w:r>
    </w:p>
    <w:p>
      <w:pPr>
        <w:pStyle w:val="ListParagraph"/>
        <w:numPr>
          <w:ilvl w:val="0"/>
          <w:numId w:val="1"/>
        </w:numPr>
        <w:spacing w:after="100" w:line="264"/>
      </w:pPr>
      <w:r>
        <w:rPr>
          <w:rFonts w:ascii="Calibri" w:cs="Calibri" w:eastAsia="Calibri" w:hAnsi="Calibri"/>
          <w:b/>
          <w:bCs/>
          <w:sz w:val="22"/>
          <w:szCs w:val="22"/>
        </w:rPr>
        <w:t xml:space="preserve">Externalizing search state is a promising, not yet proven, direction for this population. </w:t>
      </w:r>
      <w:r>
        <w:rPr>
          <w:rFonts w:ascii="Calibri" w:cs="Calibri" w:eastAsia="Calibri" w:hAnsi="Calibri"/>
          <w:sz w:val="22"/>
          <w:szCs w:val="22"/>
        </w:rPr>
        <w:t xml:space="preserve">Tools that externalize a searcher's plan and progress have been shown to support metacognitive processes in general search populations (Crescenzi et al., 2021), and interfaces that visualize search history have been shown to improve engagement, usability, and perceived knowledge gain when resuming a paused search (Hoeber, Islam, Boon, Storie, &amp; Ramshaw, 2026). Whether this specific benefit holds for searchers with dyslexia and constrained working memory is the open question this thesis investigates, not an assumption it starts from.</w:t>
      </w:r>
    </w:p>
    <w:p>
      <w:pPr>
        <w:pStyle w:val="Heading1"/>
        <w:spacing w:after="120" w:before="240"/>
      </w:pPr>
      <w:r>
        <w:rPr>
          <w:rFonts w:ascii="Calibri" w:cs="Calibri" w:eastAsia="Calibri" w:hAnsi="Calibri"/>
          <w:b/>
          <w:bCs/>
          <w:sz w:val="26"/>
          <w:szCs w:val="26"/>
        </w:rPr>
        <w:t xml:space="preserve">Task Scenario</w:t>
      </w:r>
    </w:p>
    <w:p>
      <w:pPr>
        <w:spacing w:after="160" w:line="264"/>
      </w:pPr>
      <w:r>
        <w:rPr>
          <w:rFonts w:ascii="Calibri" w:cs="Calibri" w:eastAsia="Calibri" w:hAnsi="Calibri"/>
          <w:sz w:val="22"/>
          <w:szCs w:val="22"/>
        </w:rPr>
        <w:t xml:space="preserve">The following task is used as-is from </w:t>
      </w:r>
      <w:r>
        <w:rPr>
          <w:rFonts w:ascii="Calibri" w:cs="Calibri" w:eastAsia="Calibri" w:hAnsi="Calibri"/>
          <w:i/>
          <w:iCs/>
          <w:sz w:val="22"/>
          <w:szCs w:val="22"/>
        </w:rPr>
        <w:t xml:space="preserve">[Anita's study, cite properly once you have the reference]</w:t>
      </w:r>
      <w:r>
        <w:rPr>
          <w:rFonts w:ascii="Calibri" w:cs="Calibri" w:eastAsia="Calibri" w:hAnsi="Calibri"/>
          <w:sz w:val="22"/>
          <w:szCs w:val="22"/>
        </w:rPr>
        <w:t xml:space="preserve">, designed specifically to create a realistic, sufficiently contextualized search scenario:</w:t>
      </w:r>
    </w:p>
    <w:p>
      <w:pPr>
        <w:spacing w:after="160" w:line="264"/>
      </w:pPr>
      <w:r>
        <w:rPr>
          <w:rFonts w:ascii="Calibri" w:cs="Calibri" w:eastAsia="Calibri" w:hAnsi="Calibri"/>
          <w:b/>
          <w:bCs/>
          <w:sz w:val="22"/>
          <w:szCs w:val="22"/>
        </w:rPr>
        <w:t xml:space="preserve">Green spaces and well-being: </w:t>
      </w:r>
    </w:p>
    <w:p>
      <w:pPr>
        <w:spacing w:after="160" w:line="264"/>
      </w:pPr>
      <w:r>
        <w:rPr>
          <w:rFonts w:ascii="Calibri" w:cs="Calibri" w:eastAsia="Calibri" w:hAnsi="Calibri"/>
          <w:sz w:val="22"/>
          <w:szCs w:val="22"/>
        </w:rPr>
        <w:t xml:space="preserve">Imagine you are taking a first-year Geography course that includes a module on Urban Planning. For your course project, you have decided to focus on the impact of green spaces on human well-being. Green spaces include public parks, community gardens, tree-lined streets, green spaces around schools, hospitals, and government buildings, and nature conservation areas. Human well-being includes aspects of physical health, emotional and mental health, and social engagement.</w:t>
      </w:r>
    </w:p>
    <w:p>
      <w:pPr>
        <w:spacing w:after="160" w:line="264"/>
      </w:pPr>
      <w:r>
        <w:rPr>
          <w:rFonts w:ascii="Calibri" w:cs="Calibri" w:eastAsia="Calibri" w:hAnsi="Calibri"/>
          <w:sz w:val="22"/>
          <w:szCs w:val="22"/>
        </w:rPr>
        <w:t xml:space="preserve">Your goal is to explore the academic literature to find a diverse set of resources that can help you understand this topic from different perspectives, and save these into your workspace. As you don't have time right now to download and read these articles, you have decided to focus your efforts on finding a diverse set of high-quality resources that you will examine more carefully later.</w:t>
      </w:r>
    </w:p>
    <w:p>
      <w:pPr>
        <w:spacing w:after="160" w:line="264"/>
      </w:pPr>
      <w:r>
        <w:rPr>
          <w:rFonts w:ascii="Calibri" w:cs="Calibri" w:eastAsia="Calibri" w:hAnsi="Calibri"/>
          <w:i/>
          <w:iCs/>
          <w:sz w:val="22"/>
          <w:szCs w:val="22"/>
        </w:rPr>
        <w:t xml:space="preserve">A second, counterbalanced task ("Water management and local communities") from the same study is available for a second session or condition.</w:t>
      </w:r>
    </w:p>
    <w:p>
      <w:pPr>
        <w:pStyle w:val="Heading1"/>
        <w:spacing w:after="120" w:before="240"/>
      </w:pPr>
      <w:r>
        <w:rPr>
          <w:rFonts w:ascii="Calibri" w:cs="Calibri" w:eastAsia="Calibri" w:hAnsi="Calibri"/>
          <w:b/>
          <w:bCs/>
          <w:sz w:val="26"/>
          <w:szCs w:val="26"/>
        </w:rPr>
        <w:t xml:space="preserve">Academic Grounding</w:t>
      </w:r>
    </w:p>
    <w:p>
      <w:pPr>
        <w:spacing w:after="100" w:line="252"/>
        <w:ind w:left="431" w:hanging="431"/>
      </w:pPr>
      <w:r>
        <w:rPr>
          <w:rFonts w:ascii="Calibri" w:cs="Calibri" w:eastAsia="Calibri" w:hAnsi="Calibri"/>
          <w:sz w:val="20"/>
          <w:szCs w:val="20"/>
        </w:rPr>
        <w:t xml:space="preserve">Beveridge, L., Makri, S., &amp; MacFarlane, A. "I'm just not sure." The persistence of uncertainty in the information seeking of undergraduate students with dyslexia. Information Research, ISIC 2022 special issue. [confirm exact year/volume before submitting]</w:t>
      </w:r>
    </w:p>
    <w:p>
      <w:pPr>
        <w:spacing w:after="100" w:line="252"/>
        <w:ind w:left="431" w:hanging="431"/>
      </w:pPr>
      <w:r>
        <w:rPr>
          <w:rFonts w:ascii="Calibri" w:cs="Calibri" w:eastAsia="Calibri" w:hAnsi="Calibri"/>
          <w:sz w:val="20"/>
          <w:szCs w:val="20"/>
        </w:rPr>
        <w:t xml:space="preserve">Choi, B., &amp; Arguello, J. (2025). The Effects of Working Memory during a Search and Sensemaking Task. Proceedings of the 2025 ACM SIGIR Conference on Human Information Interaction and Retrieval (CHIIR '25).</w:t>
      </w:r>
    </w:p>
    <w:p>
      <w:pPr>
        <w:spacing w:after="100" w:line="252"/>
        <w:ind w:left="431" w:hanging="431"/>
      </w:pPr>
      <w:r>
        <w:rPr>
          <w:rFonts w:ascii="Calibri" w:cs="Calibri" w:eastAsia="Calibri" w:hAnsi="Calibri"/>
          <w:sz w:val="20"/>
          <w:szCs w:val="20"/>
        </w:rPr>
        <w:t xml:space="preserve">Crescenzi, A., et al. (2021). Supporting Metacognition during Exploratory Search with the OrgBox. Proceedings of the 44th International ACM SIGIR Conference on Research and Development in Information Retrieval (SIGIR '21).</w:t>
      </w:r>
    </w:p>
    <w:p>
      <w:pPr>
        <w:spacing w:after="100" w:line="252"/>
        <w:ind w:left="431" w:hanging="431"/>
      </w:pPr>
      <w:r>
        <w:rPr>
          <w:rFonts w:ascii="Calibri" w:cs="Calibri" w:eastAsia="Calibri" w:hAnsi="Calibri"/>
          <w:sz w:val="20"/>
          <w:szCs w:val="20"/>
        </w:rPr>
        <w:t xml:space="preserve">Hoeber, O., Islam, M. N., Boon, M., Storie, D., &amp; Ramshaw, V. (2026). Search Timelines: Visualizing Search History to Enable Cross-Session Exploratory Search. International Journal on Digital Libraries.</w:t>
      </w:r>
    </w:p>
    <w:p>
      <w:pPr>
        <w:spacing w:after="100" w:line="252"/>
        <w:ind w:left="431" w:hanging="431"/>
      </w:pPr>
      <w:r>
        <w:rPr>
          <w:rFonts w:ascii="Calibri" w:cs="Calibri" w:eastAsia="Calibri" w:hAnsi="Calibri"/>
          <w:sz w:val="20"/>
          <w:szCs w:val="20"/>
        </w:rPr>
        <w:t xml:space="preserve">Li, Y., et al. (2020). Everyday Cross-session Search: How and Why Do People Search Across Multiple Sessions. Proceedings of the 2020 Conference on Human Information Interaction and Retrieval (CHIIR '20).</w:t>
      </w:r>
    </w:p>
    <w:p>
      <w:pPr>
        <w:spacing w:after="100" w:line="252"/>
        <w:ind w:left="431" w:hanging="431"/>
      </w:pPr>
      <w:r>
        <w:rPr>
          <w:rFonts w:ascii="Calibri" w:cs="Calibri" w:eastAsia="Calibri" w:hAnsi="Calibri"/>
          <w:sz w:val="20"/>
          <w:szCs w:val="20"/>
        </w:rPr>
        <w:t xml:space="preserve">Rello, L., &amp; Baeza-Yates, R. (2016). The Effect of Font Type on Screen Readability by People with Dyslexia. ACM Transactions on Accessible Computing, 8(4).</w:t>
      </w:r>
    </w:p>
    <w:p>
      <w:pPr>
        <w:spacing w:before="280"/>
      </w:pPr>
      <w:r>
        <w:rPr>
          <w:rFonts w:ascii="Calibri" w:cs="Calibri" w:eastAsia="Calibri" w:hAnsi="Calibri"/>
          <w:i/>
          <w:iCs/>
          <w:sz w:val="18"/>
          <w:szCs w:val="18"/>
        </w:rPr>
        <w:t xml:space="preserve">Note: full author lists and exact volume/issue details should be double-checked against the actual publications before this goes into the thesis document itself; some are given here in shortened form ("et al.") pending that check.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2026-09-11T03:06:25.553Z</dcterms:created>
  <dcterms:modified xsi:type="dcterms:W3CDTF">2026-09-11T03:06:25.564Z</dcterms:modified>
</cp:coreProperties>
</file>

<file path=docProps/custom.xml><?xml version="1.0" encoding="utf-8"?>
<Properties xmlns="http://schemas.openxmlformats.org/officeDocument/2006/custom-properties" xmlns:vt="http://schemas.openxmlformats.org/officeDocument/2006/docPropsVTypes"/>
</file>