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D2E"/>
          <w:sz w:val="34"/>
          <w:szCs w:val="34"/>
        </w:rPr>
        <w:t xml:space="preserve">Persona Construction: Literature Grounding and a Revised Persona</w:t>
      </w:r>
    </w:p>
    <w:p>
      <w:pPr>
        <w:spacing w:after="40"/>
        <w:jc w:val="center"/>
      </w:pPr>
      <w:r>
        <w:rPr>
          <w:i/>
          <w:iCs/>
          <w:color w:val="444444"/>
          <w:sz w:val="22"/>
          <w:szCs w:val="22"/>
        </w:rPr>
        <w:t xml:space="preserve">Cross-Session Exploratory Search Study — University of Regina</w:t>
      </w:r>
    </w:p>
    <w:p>
      <w:pPr>
        <w:spacing w:after="320"/>
        <w:jc w:val="center"/>
      </w:pPr>
      <w:r>
        <w:rPr>
          <w:color w:val="666666"/>
          <w:sz w:val="18"/>
          <w:szCs w:val="18"/>
        </w:rPr>
        <w:t xml:space="preserve">Prepared by Mosfaiul Telot · in response to Dr. Orland Hoeber’s September 10, 2026 review · September 11, 2026</w:t>
      </w:r>
    </w:p>
    <w:p>
      <w:pPr>
        <w:spacing w:after="200" w:line="276"/>
      </w:pPr>
      <w:r>
        <w:t xml:space="preserve">This document does two things. Part 1 summarizes what the persona-design and information-retrieval literature actually says about building a persona, including the specific method — Borlund’s simulated work task situation — that IR research uses to pair a persona with a realistic search task. Part 2 works through Dr. Hoeber’s review comments theme by theme and names the principle each one points to. Part 3 is the persona itself, rebuilt from that foundation. Part 4 lists what’s still needed from Dr. Hoeber and Anita Seihoon before this is ready to resubmit.</w:t>
      </w:r>
    </w:p>
    <w:p>
      <w:pPr>
        <w:pStyle w:val="Heading1"/>
        <w:spacing w:after="160" w:before="320"/>
      </w:pPr>
      <w:r>
        <w:t xml:space="preserve">Part 1 — What the Literature Actually Says</w:t>
      </w:r>
    </w:p>
    <w:p>
      <w:pPr>
        <w:pStyle w:val="Heading2"/>
        <w:spacing w:after="120" w:before="240"/>
      </w:pPr>
      <w:r>
        <w:t xml:space="preserve">1.1  What a persona is (and is not)</w:t>
      </w:r>
    </w:p>
    <w:p>
      <w:pPr>
        <w:spacing w:after="200" w:line="276"/>
      </w:pPr>
      <w:r>
        <w:t xml:space="preserve">A persona is a fictional, but realistic, description of a target user, built from real user research rather than assumption, used to keep a design team focused on a specific person’s goals and context instead of an abstract “user”</w:t>
      </w:r>
      <w:r>
        <w:t xml:space="preserve"> [1, 2]</w:t>
      </w:r>
      <w:r>
        <w:t xml:space="preserve">. Two things follow directly, and both were the core problem with the earlier draft.</w:t>
      </w:r>
    </w:p>
    <w:p>
      <w:pPr>
        <w:spacing w:after="200" w:line="276"/>
      </w:pPr>
      <w:r>
        <w:t xml:space="preserve">First, a persona describes who someone is and what they are trying to do — it is not a literature review of their diagnosis. The Nielsen Norman Group’s own component list is short: a name and photo, so the persona is memorable rather than abstract; a one-line description of who they are; their experience level and context of use; their goals and concerns as they relate to the system; and a representative quote</w:t>
      </w:r>
      <w:r>
        <w:t xml:space="preserve"> [1]</w:t>
      </w:r>
      <w:r>
        <w:t xml:space="preserve">. A page of cognitive-science findings with a citation after each sentence is not that — it reads as a summary of research about a population, not a description of a person.</w:t>
      </w:r>
    </w:p>
    <w:p>
      <w:pPr>
        <w:spacing w:after="200" w:line="276"/>
      </w:pPr>
      <w:r>
        <w:t xml:space="preserve">Second, a persona is grounded in actual data about actual people. Every attribute should trace back to something a researcher observed or a source actually found — not to what sounds plausible, or to what a language model produced when asked to describe “a student with dyslexia.”</w:t>
      </w:r>
    </w:p>
    <w:p>
      <w:pPr>
        <w:pStyle w:val="Heading2"/>
        <w:spacing w:after="120" w:before="240"/>
      </w:pPr>
      <w:r>
        <w:t xml:space="preserve">1.2  Grounded, not invented</w:t>
      </w:r>
    </w:p>
    <w:p>
      <w:pPr>
        <w:spacing w:after="200" w:line="276"/>
      </w:pPr>
      <w:r>
        <w:t xml:space="preserve">Friess’s ethnographic study of how design teams actually use personas found that specificity helps a persona get used, but only when it is traceable to real data; invented detail that isn’t tied to anything the team actually knows gets treated as decoration, not information, and designers learn to discount it</w:t>
      </w:r>
      <w:r>
        <w:t xml:space="preserve"> [3]</w:t>
      </w:r>
      <w:r>
        <w:t xml:space="preserve">. That is the same failure mode Dr. Hoeber flagged repeatedly: a reading-speed percentage with no source, a reacquaintance-cost figure that doesn’t appear in the paper it was attributed to, a severity label with no indication of whether it is a real clinical category. The fix is not to strip out all specificity — a vague persona is as useless as a fabricated one — it is to make sure every specific claim has a source behind it, and to leave a claim out rather than invent a plausible-sounding number when no source exists.</w:t>
      </w:r>
    </w:p>
    <w:p>
      <w:pPr>
        <w:spacing w:after="200" w:line="276"/>
      </w:pPr>
      <w:r>
        <w:t xml:space="preserve">This approach also has precedent outside HCI proper. Al Shboul and Abrizah built personas of humanities scholars directly from a study of that population’s actual information-seeking behaviour, rather than from assumptions about what a humanities scholar might need</w:t>
      </w:r>
      <w:r>
        <w:t xml:space="preserve"> [7]</w:t>
      </w:r>
      <w:r>
        <w:t xml:space="preserve"> — the same move this document makes for Jamie, using </w:t>
      </w:r>
      <w:r>
        <w:t xml:space="preserve"> [8]</w:t>
      </w:r>
      <w:r>
        <w:t xml:space="preserve"> and </w:t>
      </w:r>
      <w:r>
        <w:t xml:space="preserve"> [9]</w:t>
      </w:r>
      <w:r>
        <w:t xml:space="preserve"> as the underlying data instead of assumption.</w:t>
      </w:r>
    </w:p>
    <w:p>
      <w:pPr>
        <w:pStyle w:val="Heading2"/>
        <w:spacing w:after="120" w:before="240"/>
      </w:pPr>
      <w:r>
        <w:t xml:space="preserve">1.3  In search research, the persona needs a properly constructed task to go with it</w:t>
      </w:r>
    </w:p>
    <w:p>
      <w:pPr>
        <w:spacing w:after="200" w:line="276"/>
      </w:pPr>
      <w:r>
        <w:t xml:space="preserve">Dr. Hoeber’s comment that “the whole idea behind creating a persona and a scenario is to write it out and explain the challenges of searching” points at a specific, well-established IR method: Borlund’s simulated work task situation (SWTS). An SWTS is a short cover story, written from the searcher’s point of view, that gives a semantic area, the situation that leads to the need, what the information found should let the person do, and why it matters to them — enough narrative that a real participant can form their own individual interpretation of the need, the way a real work task would, instead of being handed an artificial query to execute</w:t>
      </w:r>
      <w:r>
        <w:t xml:space="preserve"> [4, 5]</w:t>
      </w:r>
      <w:r>
        <w:t xml:space="preserve">.</w:t>
      </w:r>
    </w:p>
    <w:p>
      <w:pPr>
        <w:spacing w:after="200" w:line="276"/>
      </w:pPr>
      <w:r>
        <w:t xml:space="preserve">This is exactly the gap in the earlier draft: a one-line assignment description (“4,000-word paper on…”) is a task topic, not a task situation, and it cannot do the job Dr. Hoeber is asking it to do — putting a reader in the searcher’s position. Practically, it also means the task belongs to the study, not to whoever is drafting the persona: Dr. Hoeber said directly that he had already given Anita Seihoon’s study tasks, built for exactly this purpose. Substituting an invented topic is not a shortcut; it defeats the reason a properly constructed task situation exists. That real task text isn’t available while drafting this document, so Part 3 below uses a clearly marked placeholder, built the right way structurally, but not the real instrument.</w:t>
      </w:r>
    </w:p>
    <w:p>
      <w:pPr>
        <w:pStyle w:val="Heading2"/>
        <w:spacing w:after="120" w:before="240"/>
      </w:pPr>
      <w:r>
        <w:t xml:space="preserve">1.4  A specific caution about AI-drafted persona text</w:t>
      </w:r>
    </w:p>
    <w:p>
      <w:pPr>
        <w:spacing w:after="200" w:line="276"/>
      </w:pPr>
      <w:r>
        <w:t xml:space="preserve">Salminen et al.’s analysis of AI-generated persona text found that LLM-composed personas have a recognizable compositional signature — a small set of default sentence patterns and framings the model falls back on across almost any topic, largely independent of the data it was actually given</w:t>
      </w:r>
      <w:r>
        <w:t xml:space="preserve"> [6]</w:t>
      </w:r>
      <w:r>
        <w:t xml:space="preserve">. That is consistent with specific writing complaints in the review: sentences defined by negation (“isn’t someone unfamiliar with technology”) instead of positive description, and pronouns without a clear referent, are both recognizable instances of that pattern. Using GenAI to help draft is not itself the problem — Dr. Hoeber said as much directly — the output needs to be read critically and rewritten in the author’s own words and judgment, not accepted as given.</w:t>
      </w:r>
    </w:p>
    <w:p>
      <w:pPr>
        <w:pStyle w:val="Heading2"/>
        <w:spacing w:after="120" w:before="240"/>
      </w:pPr>
      <w:r>
        <w:t xml:space="preserve">1.5  Grounding already available for this specific population</w:t>
      </w:r>
    </w:p>
    <w:p>
      <w:pPr>
        <w:spacing w:after="200" w:line="276"/>
      </w:pPr>
      <w:r>
        <w:t xml:space="preserve">Two sources ground the population this persona represents, and both are stronger evidence than general dyslexia literature because they studied university students specifically, doing real search or information-seeking work. Beveridge, Makri, and MacFarlane’s naturalistic study of 20 UK undergraduates with dyslexia doing real assignment-related information seeking found that participants’ uncertainty about their search did not resolve as they went along — the opposite of what standard information-seeking models predict — and traced this to persistently low self-efficacy specifically around selecting and spelling keywords, and around reading, interpreting, and evaluating information, not to a general lack of motivation or competence</w:t>
      </w:r>
      <w:r>
        <w:t xml:space="preserve"> [8]</w:t>
      </w:r>
      <w:r>
        <w:t xml:space="preserve">. This directly replaces the “competent, motivated searcher” framing in the earlier draft with what an actual study of this population found.</w:t>
      </w:r>
    </w:p>
    <w:p>
      <w:pPr>
        <w:spacing w:after="200" w:line="276"/>
      </w:pPr>
      <w:r>
        <w:t xml:space="preserve">Second, SearchPath — Seihoon, Beveridge, and Hoeber’s own CHIIR ’26 paper, from this research group — frames the population as “a multi-dimensional type of neurodiversity without a single universally accepted definition,” commonly involving challenges with reading dense text, working memory, attention and concentration, and low self-efficacy</w:t>
      </w:r>
      <w:r>
        <w:t xml:space="preserve"> [9]</w:t>
      </w:r>
      <w:r>
        <w:t xml:space="preserve">. That framing is reused directly below, since it is both accurate and literally the framing this thesis sits alongside.</w:t>
      </w:r>
    </w:p>
    <w:p>
      <w:pPr>
        <w:pStyle w:val="Heading1"/>
        <w:spacing w:after="160" w:before="320"/>
      </w:pPr>
      <w:r>
        <w:t xml:space="preserve">Part 2 — What Each Recurring Issue Points To</w:t>
      </w:r>
    </w:p>
    <w:p>
      <w:pPr>
        <w:spacing w:after="200" w:line="276"/>
      </w:pPr>
      <w:r>
        <w:t xml:space="preserve">Grouped from the 31 line comments into the issues that actually recurred, with the grounded fix each one points to.</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4200"/>
        <w:gridCol w:w="5900"/>
      </w:tblGrid>
      <w:tr>
        <w:trPr>
          <w:tblHeader/>
        </w:trPr>
        <w:tc>
          <w:tcPr>
            <w:tcW w:type="dxa" w:w="4200"/>
            <w:shd w:fill="2E5B4C" w:val="clear"/>
            <w:tcMar>
              <w:top w:type="dxa" w:w="100"/>
              <w:left w:type="dxa" w:w="120"/>
              <w:bottom w:type="dxa" w:w="100"/>
              <w:right w:type="dxa" w:w="120"/>
            </w:tcMar>
          </w:tcPr>
          <w:p>
            <w:pPr>
              <w:spacing w:after="0" w:line="250"/>
            </w:pPr>
            <w:r>
              <w:rPr>
                <w:b/>
                <w:bCs/>
                <w:color w:val="FFFFFF"/>
                <w:sz w:val="20"/>
                <w:szCs w:val="20"/>
              </w:rPr>
              <w:t xml:space="preserve">What came up in the review</w:t>
            </w:r>
          </w:p>
        </w:tc>
        <w:tc>
          <w:tcPr>
            <w:tcW w:type="dxa" w:w="5900"/>
            <w:shd w:fill="2E5B4C" w:val="clear"/>
            <w:tcMar>
              <w:top w:type="dxa" w:w="100"/>
              <w:left w:type="dxa" w:w="120"/>
              <w:bottom w:type="dxa" w:w="100"/>
              <w:right w:type="dxa" w:w="120"/>
            </w:tcMar>
          </w:tcPr>
          <w:p>
            <w:pPr>
              <w:spacing w:after="0" w:line="250"/>
            </w:pPr>
            <w:r>
              <w:rPr>
                <w:b/>
                <w:bCs/>
                <w:color w:val="FFFFFF"/>
                <w:sz w:val="20"/>
                <w:szCs w:val="20"/>
              </w:rPr>
              <w:t xml:space="preserve">What it points to</w:t>
            </w:r>
          </w:p>
        </w:tc>
      </w:tr>
      <w:tr>
        <w:tc>
          <w:tcPr>
            <w:tcW w:type="dxa" w:w="4200"/>
            <w:tcMar>
              <w:top w:type="dxa" w:w="100"/>
              <w:left w:type="dxa" w:w="120"/>
              <w:bottom w:type="dxa" w:w="100"/>
              <w:right w:type="dxa" w:w="120"/>
            </w:tcMar>
          </w:tcPr>
          <w:p>
            <w:pPr>
              <w:spacing w:after="0" w:line="250"/>
            </w:pPr>
            <w:r>
              <w:rPr>
                <w:b w:val="false"/>
                <w:bCs w:val="false"/>
                <w:color w:val="000000"/>
                <w:sz w:val="19"/>
                <w:szCs w:val="19"/>
              </w:rPr>
              <w:t xml:space="preserve">The draft read as a literature summary about dyslexia with a name attached, not a description of one person.</w:t>
            </w:r>
          </w:p>
        </w:tc>
        <w:tc>
          <w:tcPr>
            <w:tcW w:type="dxa" w:w="5900"/>
            <w:tcMar>
              <w:top w:type="dxa" w:w="100"/>
              <w:left w:type="dxa" w:w="120"/>
              <w:bottom w:type="dxa" w:w="100"/>
              <w:right w:type="dxa" w:w="120"/>
            </w:tcMar>
          </w:tcPr>
          <w:p>
            <w:pPr>
              <w:spacing w:after="0" w:line="250"/>
            </w:pPr>
            <w:r>
              <w:rPr>
                <w:b w:val="false"/>
                <w:bCs w:val="false"/>
                <w:color w:val="000000"/>
                <w:sz w:val="19"/>
                <w:szCs w:val="19"/>
              </w:rPr>
              <w:t xml:space="preserve">A persona is built from a short, fixed set of components — name, context, experience level, goals, a quote — not a research write-up [1, 2].</w:t>
            </w:r>
          </w:p>
        </w:tc>
      </w:tr>
      <w:tr>
        <w:tc>
          <w:tcPr>
            <w:tcW w:type="dxa" w:w="4200"/>
            <w:tcMar>
              <w:top w:type="dxa" w:w="100"/>
              <w:left w:type="dxa" w:w="120"/>
              <w:bottom w:type="dxa" w:w="100"/>
              <w:right w:type="dxa" w:w="120"/>
            </w:tcMar>
          </w:tcPr>
          <w:p>
            <w:pPr>
              <w:spacing w:after="0" w:line="250"/>
            </w:pPr>
            <w:r>
              <w:rPr>
                <w:b w:val="false"/>
                <w:bCs w:val="false"/>
                <w:color w:val="000000"/>
                <w:sz w:val="19"/>
                <w:szCs w:val="19"/>
              </w:rPr>
              <w:t xml:space="preserve">“State University” — not situated in a Canadian context.</w:t>
            </w:r>
          </w:p>
        </w:tc>
        <w:tc>
          <w:tcPr>
            <w:tcW w:type="dxa" w:w="5900"/>
            <w:tcMar>
              <w:top w:type="dxa" w:w="100"/>
              <w:left w:type="dxa" w:w="120"/>
              <w:bottom w:type="dxa" w:w="100"/>
              <w:right w:type="dxa" w:w="120"/>
            </w:tcMar>
          </w:tcPr>
          <w:p>
            <w:pPr>
              <w:spacing w:after="0" w:line="250"/>
            </w:pPr>
            <w:r>
              <w:rPr>
                <w:b w:val="false"/>
                <w:bCs w:val="false"/>
                <w:color w:val="000000"/>
                <w:sz w:val="19"/>
                <w:szCs w:val="19"/>
              </w:rPr>
              <w:t xml:space="preserve">Set in the actual institution and setting the study uses — University of Regina, consistent with SearchPath’s own library-catalogue integration [9].</w:t>
            </w:r>
          </w:p>
        </w:tc>
      </w:tr>
      <w:tr>
        <w:tc>
          <w:tcPr>
            <w:tcW w:type="dxa" w:w="4200"/>
            <w:tcMar>
              <w:top w:type="dxa" w:w="100"/>
              <w:left w:type="dxa" w:w="120"/>
              <w:bottom w:type="dxa" w:w="100"/>
              <w:right w:type="dxa" w:w="120"/>
            </w:tcMar>
          </w:tcPr>
          <w:p>
            <w:pPr>
              <w:spacing w:after="0" w:line="250"/>
            </w:pPr>
            <w:r>
              <w:rPr>
                <w:b w:val="false"/>
                <w:bCs w:val="false"/>
                <w:color w:val="000000"/>
                <w:sz w:val="19"/>
                <w:szCs w:val="19"/>
              </w:rPr>
              <w:t xml:space="preserve">“mild–moderate” had an unclear referent and no indication it’s a real clinical category.</w:t>
            </w:r>
          </w:p>
        </w:tc>
        <w:tc>
          <w:tcPr>
            <w:tcW w:type="dxa" w:w="5900"/>
            <w:tcMar>
              <w:top w:type="dxa" w:w="100"/>
              <w:left w:type="dxa" w:w="120"/>
              <w:bottom w:type="dxa" w:w="100"/>
              <w:right w:type="dxa" w:w="120"/>
            </w:tcMar>
          </w:tcPr>
          <w:p>
            <w:pPr>
              <w:spacing w:after="0" w:line="250"/>
            </w:pPr>
            <w:r>
              <w:rPr>
                <w:b w:val="false"/>
                <w:bCs w:val="false"/>
                <w:color w:val="000000"/>
                <w:sz w:val="19"/>
                <w:szCs w:val="19"/>
              </w:rPr>
              <w:t xml:space="preserve">Severity staging dropped. Dyslexia is described the way the two population-specific sources describe it, without an invented category [8, 9].</w:t>
            </w:r>
          </w:p>
        </w:tc>
      </w:tr>
      <w:tr>
        <w:tc>
          <w:tcPr>
            <w:tcW w:type="dxa" w:w="4200"/>
            <w:tcMar>
              <w:top w:type="dxa" w:w="100"/>
              <w:left w:type="dxa" w:w="120"/>
              <w:bottom w:type="dxa" w:w="100"/>
              <w:right w:type="dxa" w:w="120"/>
            </w:tcMar>
          </w:tcPr>
          <w:p>
            <w:pPr>
              <w:spacing w:after="0" w:line="250"/>
            </w:pPr>
            <w:r>
              <w:rPr>
                <w:b w:val="false"/>
                <w:bCs w:val="false"/>
                <w:color w:val="000000"/>
                <w:sz w:val="19"/>
                <w:szCs w:val="19"/>
              </w:rPr>
              <w:t xml:space="preserve">Screen reader / text-to-speech use asserted with no evidence it applies, and no indication it’s in scope for the study.</w:t>
            </w:r>
          </w:p>
        </w:tc>
        <w:tc>
          <w:tcPr>
            <w:tcW w:type="dxa" w:w="5900"/>
            <w:tcMar>
              <w:top w:type="dxa" w:w="100"/>
              <w:left w:type="dxa" w:w="120"/>
              <w:bottom w:type="dxa" w:w="100"/>
              <w:right w:type="dxa" w:w="120"/>
            </w:tcMar>
          </w:tcPr>
          <w:p>
            <w:pPr>
              <w:spacing w:after="0" w:line="250"/>
            </w:pPr>
            <w:r>
              <w:rPr>
                <w:b w:val="false"/>
                <w:bCs w:val="false"/>
                <w:color w:val="000000"/>
                <w:sz w:val="19"/>
                <w:szCs w:val="19"/>
              </w:rPr>
              <w:t xml:space="preserve">Left out of the persona entirely. Flagged as a question for Dr. Hoeber in Part 4 rather than assumed.</w:t>
            </w:r>
          </w:p>
        </w:tc>
      </w:tr>
      <w:tr>
        <w:tc>
          <w:tcPr>
            <w:tcW w:type="dxa" w:w="4200"/>
            <w:tcMar>
              <w:top w:type="dxa" w:w="100"/>
              <w:left w:type="dxa" w:w="120"/>
              <w:bottom w:type="dxa" w:w="100"/>
              <w:right w:type="dxa" w:w="120"/>
            </w:tcMar>
          </w:tcPr>
          <w:p>
            <w:pPr>
              <w:spacing w:after="0" w:line="250"/>
            </w:pPr>
            <w:r>
              <w:rPr>
                <w:b w:val="false"/>
                <w:bCs w:val="false"/>
                <w:color w:val="000000"/>
                <w:sz w:val="19"/>
                <w:szCs w:val="19"/>
              </w:rPr>
              <w:t xml:space="preserve">“Competent, motivated searcher” — runs against the self-efficacy literature for this exact population.</w:t>
            </w:r>
          </w:p>
        </w:tc>
        <w:tc>
          <w:tcPr>
            <w:tcW w:type="dxa" w:w="5900"/>
            <w:tcMar>
              <w:top w:type="dxa" w:w="100"/>
              <w:left w:type="dxa" w:w="120"/>
              <w:bottom w:type="dxa" w:w="100"/>
              <w:right w:type="dxa" w:w="120"/>
            </w:tcMar>
          </w:tcPr>
          <w:p>
            <w:pPr>
              <w:spacing w:after="0" w:line="250"/>
            </w:pPr>
            <w:r>
              <w:rPr>
                <w:b w:val="false"/>
                <w:bCs w:val="false"/>
                <w:color w:val="000000"/>
                <w:sz w:val="19"/>
                <w:szCs w:val="19"/>
              </w:rPr>
              <w:t xml:space="preserve">Replaced with Beveridge et al.’s finding: persistently low self-efficacy specific to keyword selection and evaluating information, not low motivation or competence generally [8].</w:t>
            </w:r>
          </w:p>
        </w:tc>
      </w:tr>
      <w:tr>
        <w:tc>
          <w:tcPr>
            <w:tcW w:type="dxa" w:w="4200"/>
            <w:tcMar>
              <w:top w:type="dxa" w:w="100"/>
              <w:left w:type="dxa" w:w="120"/>
              <w:bottom w:type="dxa" w:w="100"/>
              <w:right w:type="dxa" w:w="120"/>
            </w:tcMar>
          </w:tcPr>
          <w:p>
            <w:pPr>
              <w:spacing w:after="0" w:line="250"/>
            </w:pPr>
            <w:r>
              <w:rPr>
                <w:b w:val="false"/>
                <w:bCs w:val="false"/>
                <w:color w:val="000000"/>
                <w:sz w:val="19"/>
                <w:szCs w:val="19"/>
              </w:rPr>
              <w:t xml:space="preserve">“Research” used where “search” was meant — concept drift.</w:t>
            </w:r>
          </w:p>
        </w:tc>
        <w:tc>
          <w:tcPr>
            <w:tcW w:type="dxa" w:w="5900"/>
            <w:tcMar>
              <w:top w:type="dxa" w:w="100"/>
              <w:left w:type="dxa" w:w="120"/>
              <w:bottom w:type="dxa" w:w="100"/>
              <w:right w:type="dxa" w:w="120"/>
            </w:tcMar>
          </w:tcPr>
          <w:p>
            <w:pPr>
              <w:spacing w:after="0" w:line="250"/>
            </w:pPr>
            <w:r>
              <w:rPr>
                <w:b w:val="false"/>
                <w:bCs w:val="false"/>
                <w:color w:val="000000"/>
                <w:sz w:val="19"/>
                <w:szCs w:val="19"/>
              </w:rPr>
              <w:t xml:space="preserve">“Search / searching” used throughout for the information-seeking process; “paper / assignment” reserved for the written product.</w:t>
            </w:r>
          </w:p>
        </w:tc>
      </w:tr>
      <w:tr>
        <w:tc>
          <w:tcPr>
            <w:tcW w:type="dxa" w:w="4200"/>
            <w:tcMar>
              <w:top w:type="dxa" w:w="100"/>
              <w:left w:type="dxa" w:w="120"/>
              <w:bottom w:type="dxa" w:w="100"/>
              <w:right w:type="dxa" w:w="120"/>
            </w:tcMar>
          </w:tcPr>
          <w:p>
            <w:pPr>
              <w:spacing w:after="0" w:line="250"/>
            </w:pPr>
            <w:r>
              <w:rPr>
                <w:b w:val="false"/>
                <w:bCs w:val="false"/>
                <w:color w:val="000000"/>
                <w:sz w:val="19"/>
                <w:szCs w:val="19"/>
              </w:rPr>
              <w:t xml:space="preserve">Sentences defined by negation (“isn’t someone unfamiliar with…”) and pronouns with no clear referent.</w:t>
            </w:r>
          </w:p>
        </w:tc>
        <w:tc>
          <w:tcPr>
            <w:tcW w:type="dxa" w:w="5900"/>
            <w:tcMar>
              <w:top w:type="dxa" w:w="100"/>
              <w:left w:type="dxa" w:w="120"/>
              <w:bottom w:type="dxa" w:w="100"/>
              <w:right w:type="dxa" w:w="120"/>
            </w:tcMar>
          </w:tcPr>
          <w:p>
            <w:pPr>
              <w:spacing w:after="0" w:line="250"/>
            </w:pPr>
            <w:r>
              <w:rPr>
                <w:b w:val="false"/>
                <w:bCs w:val="false"/>
                <w:color w:val="000000"/>
                <w:sz w:val="19"/>
                <w:szCs w:val="19"/>
              </w:rPr>
              <w:t xml:space="preserve">A documented pattern in AI-composed persona text [6]. Rewritten as direct, positive statements with explicit subjects.</w:t>
            </w:r>
          </w:p>
        </w:tc>
      </w:tr>
      <w:tr>
        <w:tc>
          <w:tcPr>
            <w:tcW w:type="dxa" w:w="4200"/>
            <w:tcMar>
              <w:top w:type="dxa" w:w="100"/>
              <w:left w:type="dxa" w:w="120"/>
              <w:bottom w:type="dxa" w:w="100"/>
              <w:right w:type="dxa" w:w="120"/>
            </w:tcMar>
          </w:tcPr>
          <w:p>
            <w:pPr>
              <w:spacing w:after="0" w:line="250"/>
            </w:pPr>
            <w:r>
              <w:rPr>
                <w:b w:val="false"/>
                <w:bCs w:val="false"/>
                <w:color w:val="000000"/>
                <w:sz w:val="19"/>
                <w:szCs w:val="19"/>
              </w:rPr>
              <w:t xml:space="preserve">Citations that don’t say what they were cited for (Choi &amp; Arguello, Li et al., Crescenzi et al.), a wrong year, a reacquaintance figure not actually in the cited paper, and claims with no traceable source at all (a reading-speed percentage, “dual-task interference”, an unattributed “Morris et al.”).</w:t>
            </w:r>
          </w:p>
        </w:tc>
        <w:tc>
          <w:tcPr>
            <w:tcW w:type="dxa" w:w="5900"/>
            <w:tcMar>
              <w:top w:type="dxa" w:w="100"/>
              <w:left w:type="dxa" w:w="120"/>
              <w:bottom w:type="dxa" w:w="100"/>
              <w:right w:type="dxa" w:w="120"/>
            </w:tcMar>
          </w:tcPr>
          <w:p>
            <w:pPr>
              <w:spacing w:after="0" w:line="250"/>
            </w:pPr>
            <w:r>
              <w:rPr>
                <w:b w:val="false"/>
                <w:bCs w:val="false"/>
                <w:color w:val="000000"/>
                <w:sz w:val="19"/>
                <w:szCs w:val="19"/>
              </w:rPr>
              <w:t xml:space="preserve">Every citation below is scoped to the specific claim its source supports. Unverifiable claims are dropped rather than kept with a guessed source. Search Timelines is corrected to 2026, matching the paper’s own reference list [9, 13].</w:t>
            </w:r>
          </w:p>
        </w:tc>
      </w:tr>
      <w:tr>
        <w:tc>
          <w:tcPr>
            <w:tcW w:type="dxa" w:w="4200"/>
            <w:tcMar>
              <w:top w:type="dxa" w:w="100"/>
              <w:left w:type="dxa" w:w="120"/>
              <w:bottom w:type="dxa" w:w="100"/>
              <w:right w:type="dxa" w:w="120"/>
            </w:tcMar>
          </w:tcPr>
          <w:p>
            <w:pPr>
              <w:spacing w:after="0" w:line="250"/>
            </w:pPr>
            <w:r>
              <w:rPr>
                <w:b w:val="false"/>
                <w:bCs w:val="false"/>
                <w:color w:val="000000"/>
                <w:sz w:val="19"/>
                <w:szCs w:val="19"/>
              </w:rPr>
              <w:t xml:space="preserve">Bullet notes instead of a written task situation, and an invented assignment topic instead of Anita Seihoon’s actual study task.</w:t>
            </w:r>
          </w:p>
        </w:tc>
        <w:tc>
          <w:tcPr>
            <w:tcW w:type="dxa" w:w="5900"/>
            <w:tcMar>
              <w:top w:type="dxa" w:w="100"/>
              <w:left w:type="dxa" w:w="120"/>
              <w:bottom w:type="dxa" w:w="100"/>
              <w:right w:type="dxa" w:w="120"/>
            </w:tcMar>
          </w:tcPr>
          <w:p>
            <w:pPr>
              <w:spacing w:after="0" w:line="250"/>
            </w:pPr>
            <w:r>
              <w:rPr>
                <w:b w:val="false"/>
                <w:bCs w:val="false"/>
                <w:color w:val="000000"/>
                <w:sz w:val="19"/>
                <w:szCs w:val="19"/>
              </w:rPr>
              <w:t xml:space="preserve">Rebuilt using Borlund’s simulated work task situation structure [4, 5]. Currently a clearly marked placeholder pending the real task text — see Part 4.</w:t>
            </w:r>
          </w:p>
        </w:tc>
      </w:tr>
      <w:tr>
        <w:tc>
          <w:tcPr>
            <w:tcW w:type="dxa" w:w="4200"/>
            <w:tcMar>
              <w:top w:type="dxa" w:w="100"/>
              <w:left w:type="dxa" w:w="120"/>
              <w:bottom w:type="dxa" w:w="100"/>
              <w:right w:type="dxa" w:w="120"/>
            </w:tcMar>
          </w:tcPr>
          <w:p>
            <w:pPr>
              <w:spacing w:after="0" w:line="250"/>
            </w:pPr>
            <w:r>
              <w:rPr>
                <w:b w:val="false"/>
                <w:bCs w:val="false"/>
                <w:color w:val="000000"/>
                <w:sz w:val="19"/>
                <w:szCs w:val="19"/>
              </w:rPr>
              <w:t xml:space="preserve">Specific session numbers (e.g., 90 minutes continuous, 5 papers saved) asserted with no source.</w:t>
            </w:r>
          </w:p>
        </w:tc>
        <w:tc>
          <w:tcPr>
            <w:tcW w:type="dxa" w:w="5900"/>
            <w:tcMar>
              <w:top w:type="dxa" w:w="100"/>
              <w:left w:type="dxa" w:w="120"/>
              <w:bottom w:type="dxa" w:w="100"/>
              <w:right w:type="dxa" w:w="120"/>
            </w:tcMar>
          </w:tcPr>
          <w:p>
            <w:pPr>
              <w:spacing w:after="0" w:line="250"/>
            </w:pPr>
            <w:r>
              <w:rPr>
                <w:b w:val="false"/>
                <w:bCs w:val="false"/>
                <w:color w:val="000000"/>
                <w:sz w:val="19"/>
                <w:szCs w:val="19"/>
              </w:rPr>
              <w:t xml:space="preserve">Removed. Session characteristics are described qualitatively rather than with invented precision.</w:t>
            </w:r>
          </w:p>
        </w:tc>
      </w:tr>
      <w:tr>
        <w:tc>
          <w:tcPr>
            <w:tcW w:type="dxa" w:w="4200"/>
            <w:tcMar>
              <w:top w:type="dxa" w:w="100"/>
              <w:left w:type="dxa" w:w="120"/>
              <w:bottom w:type="dxa" w:w="100"/>
              <w:right w:type="dxa" w:w="120"/>
            </w:tcMar>
          </w:tcPr>
          <w:p>
            <w:pPr>
              <w:spacing w:after="0" w:line="250"/>
            </w:pPr>
            <w:r>
              <w:rPr>
                <w:b w:val="false"/>
                <w:bCs w:val="false"/>
                <w:color w:val="000000"/>
                <w:sz w:val="19"/>
                <w:szCs w:val="19"/>
              </w:rPr>
              <w:t xml:space="preserve">System behaviour written into the persona itself (AI scores results so she doesn’t have to read them; AI writes her queries) — which also raises the user-agency concern Dr. Hoeber flagged separately.</w:t>
            </w:r>
          </w:p>
        </w:tc>
        <w:tc>
          <w:tcPr>
            <w:tcW w:type="dxa" w:w="5900"/>
            <w:tcMar>
              <w:top w:type="dxa" w:w="100"/>
              <w:left w:type="dxa" w:w="120"/>
              <w:bottom w:type="dxa" w:w="100"/>
              <w:right w:type="dxa" w:w="120"/>
            </w:tcMar>
          </w:tcPr>
          <w:p>
            <w:pPr>
              <w:spacing w:after="0" w:line="250"/>
            </w:pPr>
            <w:r>
              <w:rPr>
                <w:b w:val="false"/>
                <w:bCs w:val="false"/>
                <w:color w:val="000000"/>
                <w:sz w:val="19"/>
                <w:szCs w:val="19"/>
              </w:rPr>
              <w:t xml:space="preserve">The persona now describes only Jamie. What the AI does is a system-design question that belongs in its own document (ai-goals-in-system.md already exists for this) — see Part 4.</w:t>
            </w:r>
          </w:p>
        </w:tc>
      </w:tr>
      <w:tr>
        <w:tc>
          <w:tcPr>
            <w:tcW w:type="dxa" w:w="4200"/>
            <w:tcMar>
              <w:top w:type="dxa" w:w="100"/>
              <w:left w:type="dxa" w:w="120"/>
              <w:bottom w:type="dxa" w:w="100"/>
              <w:right w:type="dxa" w:w="120"/>
            </w:tcMar>
          </w:tcPr>
          <w:p>
            <w:pPr>
              <w:spacing w:after="0" w:line="250"/>
            </w:pPr>
            <w:r>
              <w:rPr>
                <w:b w:val="false"/>
                <w:bCs w:val="false"/>
                <w:color w:val="000000"/>
                <w:sz w:val="19"/>
                <w:szCs w:val="19"/>
              </w:rPr>
              <w:t xml:space="preserve">A one-page “presentation version” produced before the full version was correct.</w:t>
            </w:r>
          </w:p>
        </w:tc>
        <w:tc>
          <w:tcPr>
            <w:tcW w:type="dxa" w:w="5900"/>
            <w:tcMar>
              <w:top w:type="dxa" w:w="100"/>
              <w:left w:type="dxa" w:w="120"/>
              <w:bottom w:type="dxa" w:w="100"/>
              <w:right w:type="dxa" w:w="120"/>
            </w:tcMar>
          </w:tcPr>
          <w:p>
            <w:pPr>
              <w:spacing w:after="0" w:line="250"/>
            </w:pPr>
            <w:r>
              <w:rPr>
                <w:b w:val="false"/>
                <w:bCs w:val="false"/>
                <w:color w:val="000000"/>
                <w:sz w:val="19"/>
                <w:szCs w:val="19"/>
              </w:rPr>
              <w:t xml:space="preserve">One persona, built correctly, in Part 3. A short version is worth making later, once this one is approved.</w:t>
            </w:r>
          </w:p>
        </w:tc>
      </w:tr>
      <w:tr>
        <w:tc>
          <w:tcPr>
            <w:tcW w:type="dxa" w:w="4200"/>
            <w:tcMar>
              <w:top w:type="dxa" w:w="100"/>
              <w:left w:type="dxa" w:w="120"/>
              <w:bottom w:type="dxa" w:w="100"/>
              <w:right w:type="dxa" w:w="120"/>
            </w:tcMar>
          </w:tcPr>
          <w:p>
            <w:pPr>
              <w:spacing w:after="0" w:line="250"/>
            </w:pPr>
            <w:r>
              <w:rPr>
                <w:b w:val="false"/>
                <w:bCs w:val="false"/>
                <w:color w:val="000000"/>
                <w:sz w:val="19"/>
                <w:szCs w:val="19"/>
              </w:rPr>
              <w:t xml:space="preserve">Reference list not in a real academic format, and several sources not actually about the population being described.</w:t>
            </w:r>
          </w:p>
        </w:tc>
        <w:tc>
          <w:tcPr>
            <w:tcW w:type="dxa" w:w="5900"/>
            <w:tcMar>
              <w:top w:type="dxa" w:w="100"/>
              <w:left w:type="dxa" w:w="120"/>
              <w:bottom w:type="dxa" w:w="100"/>
              <w:right w:type="dxa" w:w="120"/>
            </w:tcMar>
          </w:tcPr>
          <w:p>
            <w:pPr>
              <w:spacing w:after="0" w:line="250"/>
            </w:pPr>
            <w:r>
              <w:rPr>
                <w:b w:val="false"/>
                <w:bCs w:val="false"/>
                <w:color w:val="000000"/>
                <w:sz w:val="19"/>
                <w:szCs w:val="19"/>
              </w:rPr>
              <w:t xml:space="preserve">Numbered ACM-style reference list at the end of this document; every source has been located and checked directly, not carried over from the earlier draft.</w:t>
            </w:r>
          </w:p>
        </w:tc>
      </w:tr>
    </w:tbl>
    <w:p>
      <w:pPr>
        <w:spacing w:after="200"/>
      </w:pPr>
    </w:p>
    <w:p>
      <w:pPr>
        <w:pStyle w:val="Heading1"/>
        <w:spacing w:after="160" w:before="320"/>
      </w:pPr>
      <w:r>
        <w:t xml:space="preserve">Part 3 — Revised Persona</w:t>
      </w:r>
    </w:p>
    <w:p>
      <w:pPr>
        <w:pBdr>
          <w:top w:val="single" w:color="E0B34D" w:sz="4"/>
          <w:bottom w:val="single" w:color="E0B34D" w:sz="4"/>
          <w:left w:val="single" w:color="E0B34D" w:sz="4"/>
          <w:right w:val="single" w:color="E0B34D" w:sz="4"/>
        </w:pBdr>
        <w:shd w:fill="FFF3CD" w:val="clear"/>
        <w:spacing w:after="200" w:before="120"/>
        <w:ind w:left="100" w:right="100"/>
      </w:pPr>
      <w:r>
        <w:rPr>
          <w:i/>
          <w:iCs/>
          <w:color w:val="6B4E00"/>
        </w:rPr>
        <w:t xml:space="preserve">[ Insert a real, candid photograph here — not an illustration or an obviously posed stock photo — once one is available. A photo makes a persona memorable rather than abstract [1]. ]</w:t>
      </w:r>
    </w:p>
    <w:p>
      <w:pPr>
        <w:spacing w:after="40" w:before="120"/>
      </w:pPr>
      <w:r>
        <w:rPr>
          <w:b/>
          <w:bCs/>
          <w:color w:val="1F3D2E"/>
          <w:sz w:val="30"/>
          <w:szCs w:val="30"/>
        </w:rPr>
        <w:t xml:space="preserve">Jamie Chen</w:t>
      </w:r>
    </w:p>
    <w:p>
      <w:pPr>
        <w:spacing w:after="220"/>
      </w:pPr>
      <w:r>
        <w:rPr>
          <w:i/>
          <w:iCs/>
          <w:color w:val="444444"/>
          <w:sz w:val="22"/>
          <w:szCs w:val="22"/>
        </w:rPr>
        <w:t xml:space="preserve">Third-year Environmental Science student, University of Regina</w:t>
      </w:r>
    </w:p>
    <w:p>
      <w:pPr>
        <w:spacing w:after="200" w:line="276"/>
      </w:pPr>
      <w:r>
        <w:t xml:space="preserve">Jamie is a third-year Environmental Science student. She has dyslexia, and — like most students who use the library’s search tools — she is not part of any special accommodation pathway when she sits down to search: she is doing the same open-ended, multi-session research everyone in her program does, with a specific set of challenges layered on top of it.</w:t>
      </w:r>
    </w:p>
    <w:p>
      <w:pPr>
        <w:spacing w:after="80" w:before="200"/>
      </w:pPr>
      <w:r>
        <w:rPr>
          <w:b/>
          <w:bCs/>
          <w:i/>
          <w:iCs/>
        </w:rPr>
        <w:t xml:space="preserve">Background &amp; context of use</w:t>
      </w:r>
    </w:p>
    <w:p>
      <w:pPr>
        <w:pStyle w:val="ListParagraph"/>
        <w:numPr>
          <w:ilvl w:val="0"/>
          <w:numId w:val="2"/>
        </w:numPr>
        <w:spacing w:after="120" w:line="276"/>
      </w:pPr>
      <w:r>
        <w:t xml:space="preserve">Third-year undergraduate, Environmental Science program, University of Regina.</w:t>
      </w:r>
    </w:p>
    <w:p>
      <w:pPr>
        <w:pStyle w:val="ListParagraph"/>
        <w:numPr>
          <w:ilvl w:val="0"/>
          <w:numId w:val="2"/>
        </w:numPr>
        <w:spacing w:after="120" w:line="276"/>
      </w:pPr>
      <w:r>
        <w:t xml:space="preserve">Has dyslexia — “a multi-dimensional type of neurodiversity without a single universally accepted definition,” commonly involving difficulty with dense text, working memory, attention and concentration, and low self-efficacy around search-related tasks</w:t>
      </w:r>
      <w:r>
        <w:t xml:space="preserve"> [8, 9]</w:t>
      </w:r>
      <w:r>
        <w:t xml:space="preserve">.</w:t>
      </w:r>
    </w:p>
    <w:p>
      <w:pPr>
        <w:pStyle w:val="ListParagraph"/>
        <w:numPr>
          <w:ilvl w:val="0"/>
          <w:numId w:val="2"/>
        </w:numPr>
        <w:spacing w:after="120" w:line="276"/>
      </w:pPr>
      <w:r>
        <w:t xml:space="preserve">Uses the university library’s own search and discovery tools for coursework, the same as her classmates; no special software setup is assumed here unless the study specifically investigates one (see Part 4).</w:t>
      </w:r>
    </w:p>
    <w:p>
      <w:pPr>
        <w:pStyle w:val="ListParagraph"/>
        <w:numPr>
          <w:ilvl w:val="0"/>
          <w:numId w:val="2"/>
        </w:numPr>
        <w:spacing w:after="120" w:line="276"/>
      </w:pPr>
      <w:r>
        <w:t xml:space="preserve">Comfortable with technology generally — her difficulty is not with operating a search interface, but with the reading- and evaluation-heavy parts of using one</w:t>
      </w:r>
      <w:r>
        <w:t xml:space="preserve"> [8]</w:t>
      </w:r>
      <w:r>
        <w:t xml:space="preserve">.</w:t>
      </w:r>
    </w:p>
    <w:p>
      <w:pPr>
        <w:spacing w:after="80" w:before="200"/>
      </w:pPr>
      <w:r>
        <w:rPr>
          <w:b/>
          <w:bCs/>
          <w:i/>
          <w:iCs/>
        </w:rPr>
        <w:t xml:space="preserve">Search behaviour and self-efficacy</w:t>
      </w:r>
    </w:p>
    <w:p>
      <w:pPr>
        <w:pStyle w:val="ListParagraph"/>
        <w:numPr>
          <w:ilvl w:val="0"/>
          <w:numId w:val="2"/>
        </w:numPr>
        <w:spacing w:after="120" w:line="276"/>
      </w:pPr>
      <w:r>
        <w:t xml:space="preserve">When Jamie searches, she is often unsure whether she has chosen the right words, and that uncertainty does not reliably resolve as she finds more information — for students with dyslexia, this kind of uncertainty has been found to persist through a search rather than resolve the way standard information-seeking models predict</w:t>
      </w:r>
      <w:r>
        <w:t xml:space="preserve"> [8]</w:t>
      </w:r>
      <w:r>
        <w:t xml:space="preserve">.</w:t>
      </w:r>
    </w:p>
    <w:p>
      <w:pPr>
        <w:pStyle w:val="ListParagraph"/>
        <w:numPr>
          <w:ilvl w:val="0"/>
          <w:numId w:val="2"/>
        </w:numPr>
        <w:spacing w:after="120" w:line="276"/>
      </w:pPr>
      <w:r>
        <w:t xml:space="preserve">Her uncertainty concentrates on two things specifically: choosing and spelling search terms, and deciding whether something she has found is actually relevant once she has read it</w:t>
      </w:r>
      <w:r>
        <w:t xml:space="preserve"> [8]</w:t>
      </w:r>
      <w:r>
        <w:t xml:space="preserve">.</w:t>
      </w:r>
    </w:p>
    <w:p>
      <w:pPr>
        <w:pStyle w:val="ListParagraph"/>
        <w:numPr>
          <w:ilvl w:val="0"/>
          <w:numId w:val="2"/>
        </w:numPr>
        <w:spacing w:after="120" w:line="276"/>
      </w:pPr>
      <w:r>
        <w:t xml:space="preserve">Reading dense academic text takes real, sustained effort; this is a commonly reported effect of dyslexia generally</w:t>
      </w:r>
      <w:r>
        <w:t xml:space="preserve"> [9, 14]</w:t>
      </w:r>
      <w:r>
        <w:t xml:space="preserve">.</w:t>
      </w:r>
    </w:p>
    <w:p>
      <w:pPr>
        <w:pStyle w:val="ListParagraph"/>
        <w:numPr>
          <w:ilvl w:val="0"/>
          <w:numId w:val="2"/>
        </w:numPr>
        <w:spacing w:after="120" w:line="276"/>
      </w:pPr>
      <w:r>
        <w:t xml:space="preserve">Picking a search back up after a break competes for the same limited attention and working memory that reading and evaluating already draw on</w:t>
      </w:r>
      <w:r>
        <w:t xml:space="preserve"> [9]</w:t>
      </w:r>
      <w:r>
        <w:t xml:space="preserve">; more generally, people doing multi-session search stop a session for ordinary reasons — running out of time, needing to do something else — which makes resuming a normal, frequent part of the process rather than a rare interruption</w:t>
      </w:r>
      <w:r>
        <w:t xml:space="preserve"> [11]</w:t>
      </w:r>
      <w:r>
        <w:t xml:space="preserve">.</w:t>
      </w:r>
    </w:p>
    <w:p>
      <w:pPr>
        <w:pStyle w:val="ListParagraph"/>
        <w:numPr>
          <w:ilvl w:val="0"/>
          <w:numId w:val="2"/>
        </w:numPr>
        <w:spacing w:after="120" w:line="276"/>
      </w:pPr>
      <w:r>
        <w:t xml:space="preserve">None of this means Jamie avoids searching or gives up easily. It means she does the work of searching with less certainty, throughout, than a self-efficacy model would predict for someone this far into her degree</w:t>
      </w:r>
      <w:r>
        <w:t xml:space="preserve"> [8]</w:t>
      </w:r>
      <w:r>
        <w:t xml:space="preserve">.</w:t>
      </w:r>
    </w:p>
    <w:p>
      <w:pPr>
        <w:spacing w:after="80" w:before="200"/>
      </w:pPr>
      <w:r>
        <w:rPr>
          <w:b/>
          <w:bCs/>
          <w:i/>
          <w:iCs/>
        </w:rPr>
        <w:t xml:space="preserve">Task situation</w:t>
      </w:r>
    </w:p>
    <w:p>
      <w:pPr>
        <w:pBdr>
          <w:top w:val="single" w:color="E0B34D" w:sz="4"/>
          <w:bottom w:val="single" w:color="E0B34D" w:sz="4"/>
          <w:left w:val="single" w:color="E0B34D" w:sz="4"/>
          <w:right w:val="single" w:color="E0B34D" w:sz="4"/>
        </w:pBdr>
        <w:shd w:fill="FFF3CD" w:val="clear"/>
        <w:spacing w:after="200" w:before="120"/>
        <w:ind w:left="100" w:right="100"/>
      </w:pPr>
      <w:r>
        <w:rPr>
          <w:i/>
          <w:iCs/>
          <w:color w:val="6B4E00"/>
        </w:rPr>
        <w:t xml:space="preserve">PLACEHOLDER — replace with the actual simulated work task Dr. Hoeber has already provided from Anita Seihoon’s study before this persona is used for anything. The structure below follows Borlund’s simulated work task situation format [4, 5]; the content is illustrative only and is not the study instrument.</w:t>
      </w:r>
    </w:p>
    <w:p>
      <w:pPr>
        <w:pStyle w:val="ListParagraph"/>
        <w:numPr>
          <w:ilvl w:val="0"/>
          <w:numId w:val="2"/>
        </w:numPr>
        <w:spacing w:after="120" w:line="276"/>
      </w:pPr>
      <w:r>
        <w:rPr>
          <w:b/>
          <w:bCs/>
        </w:rPr>
        <w:t xml:space="preserve">Semantic area: </w:t>
      </w:r>
      <w:r>
        <w:t xml:space="preserve">environmental science and environmental policy.</w:t>
      </w:r>
    </w:p>
    <w:p>
      <w:pPr>
        <w:pStyle w:val="ListParagraph"/>
        <w:numPr>
          <w:ilvl w:val="0"/>
          <w:numId w:val="2"/>
        </w:numPr>
        <w:spacing w:after="120" w:line="276"/>
      </w:pPr>
      <w:r>
        <w:rPr>
          <w:b/>
          <w:bCs/>
        </w:rPr>
        <w:t xml:space="preserve">Situation leading to the need: </w:t>
      </w:r>
      <w:r>
        <w:t xml:space="preserve">Jamie is enrolled in a fourth-year seminar requiring an extended paper connecting an ecological topic to a policy or social dimension of her choosing. She has not been given a reading list — she has to find and make sense of the relevant literature herself, across more than one sitting, because the topic turns out to touch several fields she has not studied together before.</w:t>
      </w:r>
    </w:p>
    <w:p>
      <w:pPr>
        <w:pStyle w:val="ListParagraph"/>
        <w:numPr>
          <w:ilvl w:val="0"/>
          <w:numId w:val="2"/>
        </w:numPr>
        <w:spacing w:after="120" w:line="276"/>
      </w:pPr>
      <w:r>
        <w:rPr>
          <w:b/>
          <w:bCs/>
        </w:rPr>
        <w:t xml:space="preserve">What the information found should let her do: </w:t>
      </w:r>
      <w:r>
        <w:t xml:space="preserve">understand the topic well enough, across ecological, planning, and policy sources, to make a specific, defensible argument rather than summarize what she has read.</w:t>
      </w:r>
    </w:p>
    <w:p>
      <w:pPr>
        <w:pStyle w:val="ListParagraph"/>
        <w:numPr>
          <w:ilvl w:val="0"/>
          <w:numId w:val="2"/>
        </w:numPr>
        <w:spacing w:after="120" w:line="276"/>
      </w:pPr>
      <w:r>
        <w:rPr>
          <w:b/>
          <w:bCs/>
        </w:rPr>
        <w:t xml:space="preserve">Why it matters to her: </w:t>
      </w:r>
      <w:r>
        <w:t xml:space="preserve">the paper is a substantial part of her grade in the seminar, and — separately — it is the first time she has had to hold a genuinely multidisciplinary question together across several separate sessions of work, rather than finishing a topic in one sitting the way most of her earlier coursework allowed.</w:t>
      </w:r>
    </w:p>
    <w:p>
      <w:pPr>
        <w:spacing w:after="80" w:before="200"/>
      </w:pPr>
      <w:r>
        <w:rPr>
          <w:b/>
          <w:bCs/>
          <w:i/>
          <w:iCs/>
        </w:rPr>
        <w:t xml:space="preserve">Goals</w:t>
      </w:r>
    </w:p>
    <w:p>
      <w:pPr>
        <w:pStyle w:val="ListParagraph"/>
        <w:numPr>
          <w:ilvl w:val="0"/>
          <w:numId w:val="2"/>
        </w:numPr>
        <w:spacing w:after="120" w:line="276"/>
      </w:pPr>
      <w:r>
        <w:t xml:space="preserve">Find and make sense of literature spanning more than one discipline, without losing track of what she has already found or why she saved it, across sessions that may be days apart.</w:t>
      </w:r>
    </w:p>
    <w:p>
      <w:pPr>
        <w:pStyle w:val="ListParagraph"/>
        <w:numPr>
          <w:ilvl w:val="0"/>
          <w:numId w:val="2"/>
        </w:numPr>
        <w:spacing w:after="120" w:line="276"/>
      </w:pPr>
      <w:r>
        <w:t xml:space="preserve">Be able to trust her own judgment about whether something she has found is relevant, rather than needing to re-read it repeatedly to be sure</w:t>
      </w:r>
      <w:r>
        <w:t xml:space="preserve"> [8]</w:t>
      </w:r>
      <w:r>
        <w:t xml:space="preserve">.</w:t>
      </w:r>
    </w:p>
    <w:p>
      <w:pPr>
        <w:spacing w:after="80" w:before="200"/>
      </w:pPr>
      <w:r>
        <w:rPr>
          <w:b/>
          <w:bCs/>
          <w:i/>
          <w:iCs/>
        </w:rPr>
        <w:t xml:space="preserve">Frustrations</w:t>
      </w:r>
    </w:p>
    <w:p>
      <w:pPr>
        <w:pStyle w:val="ListParagraph"/>
        <w:numPr>
          <w:ilvl w:val="0"/>
          <w:numId w:val="2"/>
        </w:numPr>
        <w:spacing w:after="120" w:line="276"/>
      </w:pPr>
      <w:r>
        <w:t xml:space="preserve">Picking a search back up after a break means re-establishing what she was doing and why, on top of the reading and evaluation work that already takes sustained effort</w:t>
      </w:r>
      <w:r>
        <w:t xml:space="preserve"> [9]</w:t>
      </w:r>
      <w:r>
        <w:t xml:space="preserve">.</w:t>
      </w:r>
    </w:p>
    <w:p>
      <w:pPr>
        <w:pStyle w:val="ListParagraph"/>
        <w:numPr>
          <w:ilvl w:val="0"/>
          <w:numId w:val="2"/>
        </w:numPr>
        <w:spacing w:after="120" w:line="276"/>
      </w:pPr>
      <w:r>
        <w:t xml:space="preserve">Dense, text-only result lists make it hard to tell at a glance what is worth her limited, costly reading time</w:t>
      </w:r>
      <w:r>
        <w:t xml:space="preserve"> [9, 14]</w:t>
      </w:r>
      <w:r>
        <w:t xml:space="preserve">.</w:t>
      </w:r>
    </w:p>
    <w:p>
      <w:pPr>
        <w:spacing w:after="80" w:before="200"/>
      </w:pPr>
      <w:r>
        <w:rPr>
          <w:b/>
          <w:bCs/>
          <w:i/>
          <w:iCs/>
        </w:rPr>
        <w:t xml:space="preserve">In her words</w:t>
      </w:r>
    </w:p>
    <w:p>
      <w:pPr>
        <w:spacing w:after="200" w:line="276"/>
      </w:pPr>
      <w:r>
        <w:rPr>
          <w:i/>
          <w:iCs/>
        </w:rPr>
        <w:t xml:space="preserve">“I’ve read three papers and I still don’t know if I picked the right ones.”</w:t>
      </w:r>
    </w:p>
    <w:p>
      <w:pPr>
        <w:spacing w:after="200" w:line="276"/>
      </w:pPr>
      <w:r>
        <w:rPr>
          <w:i/>
          <w:iCs/>
          <w:color w:val="666666"/>
          <w:sz w:val="18"/>
          <w:szCs w:val="18"/>
        </w:rPr>
        <w:t xml:space="preserve">(An original line written for this persona, not a direct quotation from a study participant — in keeping with the uncertainty [8] reports for this population.)</w:t>
      </w:r>
    </w:p>
    <w:p>
      <w:pPr>
        <w:spacing w:after="80" w:before="200"/>
      </w:pPr>
      <w:r>
        <w:rPr>
          <w:b/>
          <w:bCs/>
          <w:i/>
          <w:iCs/>
        </w:rPr>
        <w:t xml:space="preserve">Why this persona, for this project</w:t>
      </w:r>
    </w:p>
    <w:p>
      <w:pPr>
        <w:spacing w:after="200" w:line="276"/>
      </w:pPr>
      <w:r>
        <w:t xml:space="preserve">Jamie is the kind of searcher this project is designed around: someone for whom the ordinary multi-session search experience — dense result lists, and no record of why a result mattered — adds real cost on top of challenges she already has around reading and evaluating what she finds</w:t>
      </w:r>
      <w:r>
        <w:t xml:space="preserve"> [8, 9]</w:t>
      </w:r>
      <w:r>
        <w:t xml:space="preserve">. Structured support for planning, monitoring, and revising a search strategy — generally known as metacognitive scaffolding — has been shown to help searchers manage exactly this kind of complex, multi-session task</w:t>
      </w:r>
      <w:r>
        <w:t xml:space="preserve"> [12]</w:t>
      </w:r>
      <w:r>
        <w:t xml:space="preserve">, and cross-session tools that visualize prior search activity as a timeline have shown improved usability, engagement, and perceived knowledge gain for general search populations</w:t>
      </w:r>
      <w:r>
        <w:t xml:space="preserve"> [13]</w:t>
      </w:r>
      <w:r>
        <w:t xml:space="preserve">. What this system should specifically do about that is a separate design question, addressed in the project’s own design-rationale document, not in this persona.</w:t>
      </w:r>
    </w:p>
    <w:p>
      <w:pPr>
        <w:pStyle w:val="Heading1"/>
        <w:spacing w:after="160" w:before="320"/>
      </w:pPr>
      <w:r>
        <w:t xml:space="preserve">Part 4 — Open Items Before This Goes Back to Dr. Hoeber</w:t>
      </w:r>
    </w:p>
    <w:p>
      <w:pPr>
        <w:pStyle w:val="ListParagraph"/>
        <w:numPr>
          <w:ilvl w:val="0"/>
          <w:numId w:val="2"/>
        </w:numPr>
        <w:spacing w:after="120" w:line="276"/>
      </w:pPr>
      <w:r>
        <w:t xml:space="preserve">Get the actual simulated work task Anita Seihoon is using, and replace the placeholder in Part 3 with it verbatim (or adapt it only with sign-off from Dr. Hoeber or Anita).</w:t>
      </w:r>
    </w:p>
    <w:p>
      <w:pPr>
        <w:pStyle w:val="ListParagraph"/>
        <w:numPr>
          <w:ilvl w:val="0"/>
          <w:numId w:val="2"/>
        </w:numPr>
        <w:spacing w:after="120" w:line="276"/>
      </w:pPr>
      <w:r>
        <w:t xml:space="preserve">Ask Dr. Hoeber directly whether any assistive-technology use (screen reader, text-to-speech, etc.) is actually in scope for this study. If it is, it needs its own evidence base before it goes back into the persona; if it is not, it stays out.</w:t>
      </w:r>
    </w:p>
    <w:p>
      <w:pPr>
        <w:pStyle w:val="ListParagraph"/>
        <w:numPr>
          <w:ilvl w:val="0"/>
          <w:numId w:val="2"/>
        </w:numPr>
        <w:spacing w:after="120" w:line="276"/>
      </w:pPr>
      <w:r>
        <w:t xml:space="preserve">Ask whether the study will collect or require a formal diagnosis category or severity information at all. If not, none should appear in the persona.</w:t>
      </w:r>
    </w:p>
    <w:p>
      <w:pPr>
        <w:pStyle w:val="ListParagraph"/>
        <w:numPr>
          <w:ilvl w:val="0"/>
          <w:numId w:val="2"/>
        </w:numPr>
        <w:spacing w:after="120" w:line="276"/>
      </w:pPr>
      <w:r>
        <w:t xml:space="preserve">Choose an actual photograph once the persona itself is approved — the Nielsen Norman Group recommends a real photograph over an illustration</w:t>
      </w:r>
      <w:r>
        <w:t xml:space="preserve"> [1]</w:t>
      </w:r>
      <w:r>
        <w:t xml:space="preserve">.</w:t>
      </w:r>
    </w:p>
    <w:p>
      <w:pPr>
        <w:pStyle w:val="ListParagraph"/>
        <w:numPr>
          <w:ilvl w:val="0"/>
          <w:numId w:val="2"/>
        </w:numPr>
        <w:spacing w:after="120" w:line="276"/>
      </w:pPr>
      <w:r>
        <w:t xml:space="preserve">Keep this persona and the system’s design-rationale document (ai-goals-in-system.md) as two separate documents: this persona describes Jamie; the design document explains what the AI does and why, each on its own terms.</w:t>
      </w:r>
    </w:p>
    <w:p>
      <w:pPr>
        <w:pStyle w:val="Heading1"/>
        <w:spacing w:after="160" w:before="320"/>
      </w:pPr>
      <w:r>
        <w:t xml:space="preserve">References</w:t>
      </w:r>
    </w:p>
    <w:p>
      <w:pPr>
        <w:spacing w:after="160" w:line="264"/>
        <w:ind w:left="360" w:hanging="360"/>
      </w:pPr>
      <w:r>
        <w:t xml:space="preserve">[1] Nielsen Norman Group. 2024. Personas. Retrieved September 11, 2026 from https://www.nngroup.com/articles/persona/</w:t>
      </w:r>
    </w:p>
    <w:p>
      <w:pPr>
        <w:spacing w:after="160" w:line="264"/>
        <w:ind w:left="360" w:hanging="360"/>
      </w:pPr>
      <w:r>
        <w:t xml:space="preserve">[2] John Pruitt and Jonathan Grudin. 2003. Personas: practice and theory. In Proceedings of the 2003 Conference on Designing for User Experiences (DUX ’03). ACM, New York, NY, USA. https://doi.org/10.1145/997078.997089</w:t>
      </w:r>
    </w:p>
    <w:p>
      <w:pPr>
        <w:spacing w:after="160" w:line="264"/>
        <w:ind w:left="360" w:hanging="360"/>
      </w:pPr>
      <w:r>
        <w:t xml:space="preserve">[3] Erin Friess. 2012. Personas and decision making in the design process: an ethnographic case study. In Proceedings of the SIGCHI Conference on Human Factors in Computing Systems (CHI ’12). ACM, New York, NY, USA, 1209–1218. https://doi.org/10.1145/2207676.2208572</w:t>
      </w:r>
    </w:p>
    <w:p>
      <w:pPr>
        <w:spacing w:after="160" w:line="264"/>
        <w:ind w:left="360" w:hanging="360"/>
      </w:pPr>
      <w:r>
        <w:t xml:space="preserve">[4] Pia Borlund. 2003. The IIR evaluation model: a framework for evaluation of interactive information retrieval systems. Information Research 8, 3 (2003), paper 152. http://InformationR.net/ir/8-3/paper152.html</w:t>
      </w:r>
    </w:p>
    <w:p>
      <w:pPr>
        <w:spacing w:after="160" w:line="264"/>
        <w:ind w:left="360" w:hanging="360"/>
      </w:pPr>
      <w:r>
        <w:t xml:space="preserve">[5] Pia Borlund. 2000. Experimental components for the evaluation of interactive information retrieval systems. Journal of Documentation 56, 1 (2000), 71–90. https://doi.org/10.1108/EUM0000000007110</w:t>
      </w:r>
    </w:p>
    <w:p>
      <w:pPr>
        <w:spacing w:after="160" w:line="264"/>
        <w:ind w:left="360" w:hanging="360"/>
      </w:pPr>
      <w:r>
        <w:t xml:space="preserve">[6] Joni Salminen, Chang Liu, Wenjing Pian, Jianxing Chi, Essi Häyhänen, and Bernard J. Jansen. 2024. Deus ex machina and personas from large language models: investigating the composition of AI-generated persona descriptions. In Proceedings of the 2024 CHI Conference on Human Factors in Computing Systems (CHI ’24). ACM, New York, NY, USA. https://doi.org/10.1145/3613904.3642036</w:t>
      </w:r>
    </w:p>
    <w:p>
      <w:pPr>
        <w:spacing w:after="160" w:line="264"/>
        <w:ind w:left="360" w:hanging="360"/>
      </w:pPr>
      <w:r>
        <w:t xml:space="preserve">[7] Mohammad Khaled Al Shboul and A. Abrizah. 2016. Modes of information seeking: developing personas of humanities scholars. Information Development 32, 5 (2016), 1786–1805. https://doi.org/10.1177/0266666915627673</w:t>
      </w:r>
    </w:p>
    <w:p>
      <w:pPr>
        <w:spacing w:after="160" w:line="264"/>
        <w:ind w:left="360" w:hanging="360"/>
      </w:pPr>
      <w:r>
        <w:t xml:space="preserve">[8] Lynne Beveridge, Stephann Makri, and Andrew MacFarlane. 2022. ‘I’m just not sure.’ The persistence of uncertainty in the information seeking of undergraduate students with dyslexia. In Proceedings of ISIC: The Information Behaviour Conference.</w:t>
      </w:r>
    </w:p>
    <w:p>
      <w:pPr>
        <w:spacing w:after="160" w:line="264"/>
        <w:ind w:left="360" w:hanging="360"/>
      </w:pPr>
      <w:r>
        <w:t xml:space="preserve">[9] Anita Seihoon, Lynne Beveridge, and Orland Hoeber. 2026. SearchPath: a visual reminder of past search activity to support students with dyslexia when undertaking exploratory searches. In Proceedings of the 2026 ACM SIGIR Conference on Human Information Interaction and Retrieval (CHIIR ’26). ACM, New York, NY, USA, 311–315. https://doi.org/10.1145/3786304.3787926</w:t>
      </w:r>
    </w:p>
    <w:p>
      <w:pPr>
        <w:spacing w:after="160" w:line="264"/>
        <w:ind w:left="360" w:hanging="360"/>
      </w:pPr>
      <w:r>
        <w:t xml:space="preserve">[10] Bogeum Choi and Jaime Arguello. 2025. The effects of working memory during a search and sensemaking task. In Proceedings of the 2025 ACM SIGIR Conference on Human Information Interaction and Retrieval (CHIIR ’25). ACM, New York, NY, USA, 100–111. https://doi.org/10.1145/3698204.3716449</w:t>
      </w:r>
    </w:p>
    <w:p>
      <w:pPr>
        <w:spacing w:after="160" w:line="264"/>
        <w:ind w:left="360" w:hanging="360"/>
      </w:pPr>
      <w:r>
        <w:t xml:space="preserve">[11] Yuan Li, Rob Capra, and Yinglong Zhang. 2020. Everyday cross-session search. In Proceedings of the 2020 Conference on Human Information Interaction and Retrieval (CHIIR ’20). ACM, New York, NY, USA, 163–172. https://doi.org/10.1145/3343413.3377970</w:t>
      </w:r>
    </w:p>
    <w:p>
      <w:pPr>
        <w:spacing w:after="160" w:line="264"/>
        <w:ind w:left="360" w:hanging="360"/>
      </w:pPr>
      <w:r>
        <w:t xml:space="preserve">[12] Anita Crescenzi, Austin R. Ward, Yuan Li, and Rob Capra. 2021. Supporting metacognition during exploratory search with the OrgBox. In Proceedings of the 44th International ACM SIGIR Conference on Research and Development in Information Retrieval (SIGIR ’21). ACM, New York, NY, USA, 1197–1207. https://doi.org/10.1145/3404835.3462955</w:t>
      </w:r>
    </w:p>
    <w:p>
      <w:pPr>
        <w:spacing w:after="160" w:line="264"/>
        <w:ind w:left="360" w:hanging="360"/>
      </w:pPr>
      <w:r>
        <w:t xml:space="preserve">[13] Orland Hoeber, Md Nazmul Islam, Miriam Boon, Dale Storie, and Veronica Ramshaw. 2026. Search Timelines: visualizing search history to enable cross-session exploratory search. International Journal on Digital Libraries 27, 1 (2026). https://doi.org/10.1007/s00799-026-00439-x</w:t>
      </w:r>
    </w:p>
    <w:p>
      <w:pPr>
        <w:spacing w:after="160" w:line="264"/>
        <w:ind w:left="360" w:hanging="360"/>
      </w:pPr>
      <w:r>
        <w:t xml:space="preserve">[14] Luz Rello and Ricardo Baeza-Yates. 2016. The effect of font type on screen readability by people with dyslexia. ACM Transactions on Accessible Computing 8, 4 (2016), Article 15. https://doi.org/10.1145/2897736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D2E" w:sz="6"/>
      </w:pBdr>
      <w:spacing w:after="160" w:before="320"/>
    </w:pPr>
    <w:rPr>
      <w:rFonts w:ascii="Calibri" w:cs="Calibri" w:eastAsia="Calibri" w:hAnsi="Calibri"/>
      <w:b/>
      <w:bCs/>
      <w:color w:val="1F3D2E"/>
      <w:sz w:val="28"/>
      <w:szCs w:val="28"/>
    </w:rPr>
  </w:style>
  <w:style w:type="paragraph" w:styleId="Heading2">
    <w:name w:val="Heading 2"/>
    <w:basedOn w:val="Normal"/>
    <w:next w:val="Normal"/>
    <w:qFormat/>
    <w:pPr>
      <w:spacing w:after="120" w:before="240"/>
    </w:pPr>
    <w:rPr>
      <w:rFonts w:ascii="Calibri" w:cs="Calibri" w:eastAsia="Calibri" w:hAnsi="Calibri"/>
      <w:b/>
      <w:bCs/>
      <w:color w:val="2E5B4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2026-09-11T04:04:21.670Z</dcterms:created>
  <dcterms:modified xsi:type="dcterms:W3CDTF">2026-09-11T04:04:21.682Z</dcterms:modified>
</cp:coreProperties>
</file>

<file path=docProps/custom.xml><?xml version="1.0" encoding="utf-8"?>
<Properties xmlns="http://schemas.openxmlformats.org/officeDocument/2006/custom-properties" xmlns:vt="http://schemas.openxmlformats.org/officeDocument/2006/docPropsVTypes"/>
</file>