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52"/>
        </w:rPr>
        <w:t>AidLux 犀牛派 A1</w:t>
      </w:r>
    </w:p>
    <w:p>
      <w:pPr>
        <w:jc w:val="center"/>
      </w:pPr>
      <w:r>
        <w:rPr>
          <w:rFonts w:ascii="黑体" w:hAnsi="黑体" w:eastAsia="黑体"/>
          <w:b/>
          <w:color w:val="1F4E79"/>
          <w:sz w:val="44"/>
        </w:rPr>
        <w:t>自瞄系统移植与部署使用报告</w:t>
      </w:r>
    </w:p>
    <w:p>
      <w:pPr>
        <w:spacing w:before="160"/>
        <w:jc w:val="center"/>
      </w:pPr>
      <w:r>
        <w:rPr>
          <w:rFonts w:ascii="等线" w:hAnsi="等线" w:eastAsia="等线"/>
          <w:sz w:val="22"/>
        </w:rPr>
        <w:t>TJURM + OpenRM   ·   CUDA / TensorRT  →  高通 NPU（AidLite + QNN）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96000" cy="2170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_rhinopi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17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等线" w:hAnsi="等线" w:eastAsia="等线"/>
          <w:color w:val="595959"/>
          <w:sz w:val="19"/>
        </w:rPr>
        <w:t>图 1  犀牛派 A1（QCS6490）与海康 MV-CS016-10UC 工业相机组成的目标平台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917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目标平台</w:t>
            </w:r>
          </w:p>
        </w:tc>
        <w:tc>
          <w:tcPr>
            <w:tcW w:type="dxa" w:w="6917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AidLux 犀牛派 A1（Qualcomm QCS6490，aarch64）</w:t>
            </w:r>
          </w:p>
        </w:tc>
      </w:tr>
      <w:tr>
        <w:tc>
          <w:tcPr>
            <w:tcW w:type="dxa" w:w="192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推理后端</w:t>
            </w:r>
          </w:p>
        </w:tc>
        <w:tc>
          <w:tcPr>
            <w:tcW w:type="dxa" w:w="6917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AidLite SDK 2.3.2 + QNN 2.36（Hexagon HTP / NPU）</w:t>
            </w:r>
          </w:p>
        </w:tc>
      </w:tr>
      <w:tr>
        <w:tc>
          <w:tcPr>
            <w:tcW w:type="dxa" w:w="192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视觉输入</w:t>
            </w:r>
          </w:p>
        </w:tc>
        <w:tc>
          <w:tcPr>
            <w:tcW w:type="dxa" w:w="6917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海康 MV-CS016-10UC，1440×1080 @ 60 fps，USB3 Vision</w:t>
            </w:r>
          </w:p>
        </w:tc>
      </w:tr>
      <w:tr>
        <w:tc>
          <w:tcPr>
            <w:tcW w:type="dxa" w:w="192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算法系统</w:t>
            </w:r>
          </w:p>
        </w:tc>
        <w:tc>
          <w:tcPr>
            <w:tcW w:type="dxa" w:w="6917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TJURM-2024（框架） + OpenRM-2024（算法库）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文档版本</w:t>
            </w:r>
          </w:p>
        </w:tc>
        <w:tc>
          <w:tcPr>
            <w:tcW w:type="dxa" w:w="6917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v1.0    2026-10-29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一、项目概述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本报告记录北航机甲大师（RM）自瞄系统从 Nvidia CUDA / TensorRT 平台向 AidLux 犀牛派 A1 平台的完整移植过程与运行效果。原系统依赖 CUDA 与 TensorRT 完成神经网络推理，在无 GPU 的国产化平台上无法直接运行；本次改造将推理层抽象为与后端无关的统一接口，在不改动任何自瞄算法的前提下，把推理工作负载迁移到 QCS6490 的 Hexagon NPU 上，并完成了工业相机接入、模型量化转换与整机联调。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系统现已稳定运行，检测、跟踪、状态输出全链路正常，流水线帧率达到 100 fps，满足实车对抗场景对实时性的要求。</w:t>
      </w:r>
    </w:p>
    <w:p>
      <w:pPr>
        <w:pStyle w:val="Heading2"/>
      </w:pPr>
      <w:r>
        <w:t>1.1 核心成果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6576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NPU 单次推理</w:t>
            </w:r>
          </w:p>
        </w:tc>
        <w:tc>
          <w:tcPr>
            <w:tcW w:type="dxa" w:w="6576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3.3 ms（Hexagon HTP，640×640 输入）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流水线帧率</w:t>
            </w:r>
          </w:p>
        </w:tc>
        <w:tc>
          <w:tcPr>
            <w:tcW w:type="dxa" w:w="6576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100 fps（单帧全链路 10.0 ms）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检测置信度</w:t>
            </w:r>
          </w:p>
        </w:tc>
        <w:tc>
          <w:tcPr>
            <w:tcW w:type="dxa" w:w="6576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0.84 ~ 0.99（实景装甲板）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相机采集</w:t>
            </w:r>
          </w:p>
        </w:tc>
        <w:tc>
          <w:tcPr>
            <w:tcW w:type="dxa" w:w="6576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1440×1080 @ 60 fps，Bayer → BGR 硬件转换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算法改动量</w:t>
            </w:r>
          </w:p>
        </w:tc>
        <w:tc>
          <w:tcPr>
            <w:tcW w:type="dxa" w:w="6576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0 行（自瞄算法逻辑完全保持原样）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部署方式</w:t>
            </w:r>
          </w:p>
        </w:tc>
        <w:tc>
          <w:tcPr>
            <w:tcW w:type="dxa" w:w="6576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一键脚本，板端编译 + 安装全自动</w:t>
            </w:r>
          </w:p>
        </w:tc>
      </w:tr>
    </w:tbl>
    <w:p>
      <w:pPr>
        <w:spacing w:after="40"/>
      </w:pPr>
    </w:p>
    <w:p>
      <w:pPr>
        <w:pStyle w:val="Heading1"/>
      </w:pPr>
      <w:r>
        <w:t>二、硬件平台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部件</w:t>
            </w:r>
          </w:p>
        </w:tc>
        <w:tc>
          <w:tcPr>
            <w:tcW w:type="dxa" w:w="6803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规格</w:t>
            </w:r>
          </w:p>
        </w:tc>
      </w:tr>
      <w:tr>
        <w:tc>
          <w:tcPr>
            <w:tcW w:type="dxa" w:w="2041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计算单元</w:t>
            </w:r>
          </w:p>
        </w:tc>
        <w:tc>
          <w:tcPr>
            <w:tcW w:type="dxa" w:w="6803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Qualcomm QCS6490，8 核（4×A78 + 4×A55）</w:t>
            </w:r>
          </w:p>
        </w:tc>
      </w:tr>
      <w:tr>
        <w:tc>
          <w:tcPr>
            <w:tcW w:type="dxa" w:w="2041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NPU</w:t>
            </w:r>
          </w:p>
        </w:tc>
        <w:tc>
          <w:tcPr>
            <w:tcW w:type="dxa" w:w="6803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Hexagon HTP，约 12 TOPS（INT8）</w:t>
            </w:r>
          </w:p>
        </w:tc>
      </w:tr>
      <w:tr>
        <w:tc>
          <w:tcPr>
            <w:tcW w:type="dxa" w:w="2041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内存 / 存储</w:t>
            </w:r>
          </w:p>
        </w:tc>
        <w:tc>
          <w:tcPr>
            <w:tcW w:type="dxa" w:w="6803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8 GB LPDDR4X / 128 GB</w:t>
            </w:r>
          </w:p>
        </w:tc>
      </w:tr>
      <w:tr>
        <w:tc>
          <w:tcPr>
            <w:tcW w:type="dxa" w:w="2041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操作系统</w:t>
            </w:r>
          </w:p>
        </w:tc>
        <w:tc>
          <w:tcPr>
            <w:tcW w:type="dxa" w:w="6803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Ubuntu 24.04（aarch64）</w:t>
            </w:r>
          </w:p>
        </w:tc>
      </w:tr>
      <w:tr>
        <w:tc>
          <w:tcPr>
            <w:tcW w:type="dxa" w:w="2041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相机</w:t>
            </w:r>
          </w:p>
        </w:tc>
        <w:tc>
          <w:tcPr>
            <w:tcW w:type="dxa" w:w="6803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HIKROBOT MV-CS016-10UC，1/2.9" CMOS，1440×1080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镜头</w:t>
            </w:r>
          </w:p>
        </w:tc>
        <w:tc>
          <w:tcPr>
            <w:tcW w:type="dxa" w:w="6803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6 mm 定焦，C 接口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该平台以 NPU 承担神经网络推理，CPU 负责图像预处理、后处理与控制逻辑，整体功耗与体积远小于传统 GPU 方案，适合车载部署。</w:t>
      </w:r>
    </w:p>
    <w:p>
      <w:pPr>
        <w:pStyle w:val="Heading1"/>
      </w:pPr>
      <w:r>
        <w:t>三、技术方案</w:t>
      </w:r>
    </w:p>
    <w:p>
      <w:pPr>
        <w:pStyle w:val="Heading2"/>
      </w:pPr>
      <w:r>
        <w:t>3.1 后端无关推理层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在算法库中新增统一的推理封装 rm::Infer，对外仅暴露 load / setInput / enqueue / synchronize 四个接口。具体后端在编译期自动探测：检测到 AidLite 则启用 NPU 后端，检测到 TensorRT 则启用 GPU 后端，两者都没有时退化为空实现。因此同一份算法代码既可以在犀牛派上跑 NPU，也可以在原有 Jetson 平台上跑 GPU，无需任何条件编译。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后端</w:t>
            </w:r>
          </w:p>
        </w:tc>
        <w:tc>
          <w:tcPr>
            <w:tcW w:type="dxa" w:w="3402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触发条件</w:t>
            </w:r>
          </w:p>
        </w:tc>
        <w:tc>
          <w:tcPr>
            <w:tcW w:type="dxa" w:w="3061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2381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AidLite（QNN）</w:t>
            </w:r>
          </w:p>
        </w:tc>
        <w:tc>
          <w:tcPr>
            <w:tcW w:type="dxa" w:w="3402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编译期发现 aidlite 库</w:t>
            </w:r>
          </w:p>
        </w:tc>
        <w:tc>
          <w:tcPr>
            <w:tcW w:type="dxa" w:w="306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犀牛派 A1，NPU 推理</w:t>
            </w:r>
          </w:p>
        </w:tc>
      </w:tr>
      <w:tr>
        <w:tc>
          <w:tcPr>
            <w:tcW w:type="dxa" w:w="2381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TensorRT</w:t>
            </w:r>
          </w:p>
        </w:tc>
        <w:tc>
          <w:tcPr>
            <w:tcW w:type="dxa" w:w="3402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编译期发现 NvInfer</w:t>
            </w:r>
          </w:p>
        </w:tc>
        <w:tc>
          <w:tcPr>
            <w:tcW w:type="dxa" w:w="306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原 Jetson 平台，GPU 推理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Null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以上均无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纯算法调试 / CI</w:t>
            </w:r>
          </w:p>
        </w:tc>
      </w:tr>
    </w:tbl>
    <w:p>
      <w:pPr>
        <w:spacing w:after="40"/>
      </w:pPr>
    </w:p>
    <w:p>
      <w:pPr>
        <w:pStyle w:val="Heading2"/>
      </w:pPr>
      <w:r>
        <w:t>3.2 图像预处理的一致性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原实现由 CUDA 核函数完成缩放与归一化，新实现改用 CPU 的等价 letterbox：保持长宽比缩放、居中放置、边界填充 114 灰度、BGR 转 RGB、像素值除以 255。几何变换与填充规则与原核函数完全一致，因此 NMS 中的坐标反算逻辑与后续的 PnP 解算不需要任何修改。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实测表明，模型输入必须按 float32（0~1）提交并由 SDK 依据模型自身的量化参数转换；这一细节直接决定了置信度是否正确，处理前同一帧的最高置信度仅为 0.02，处理后可达 0.92 以上。</w:t>
      </w:r>
    </w:p>
    <w:p>
      <w:pPr>
        <w:pStyle w:val="Heading2"/>
      </w:pPr>
      <w:r>
        <w:t>3.3 三级流水线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系统保持原有的三级线程结构：预处理线程负责缩放与张量组装，推理线程负责 NPU 调用与 NMS，主线程负责跟踪、解算与控制。线程间通过共享标志与原子指针握手，推理引擎的切换使用原子发布，保证多线程访问安全。消费标志在 NMS 完成后才清除，避免了处理过程中被新帧覆盖的竞态。</w:t>
      </w:r>
    </w:p>
    <w:p>
      <w:pPr>
        <w:pStyle w:val="Heading1"/>
      </w:pPr>
      <w:r>
        <w:t>四、模型部署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模型通过官方 AIMO 平台完成 ONNX → QNN 上下文二进制的转换，量化采用 INT16（W8A16）混合精度。网络输入为 1×640×640×3，输出为 1×25200×22，单帧输出包含 8 个四角坐标、1 个置信度、4 个颜色通道与 9 个装甲板编号通道。</w:t>
      </w:r>
    </w:p>
    <w:p>
      <w:pPr>
        <w:pStyle w:val="Heading2"/>
      </w:pPr>
      <w:r>
        <w:t>4.1 转换参数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154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3061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取值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数据精度</w:t>
            </w:r>
          </w:p>
        </w:tc>
        <w:tc>
          <w:tcPr>
            <w:tcW w:type="dxa" w:w="306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INT16（W8A16）</w:t>
            </w:r>
          </w:p>
        </w:tc>
        <w:tc>
          <w:tcPr>
            <w:tcW w:type="dxa" w:w="36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权重 8 bit、激活 16 bit</w:t>
            </w:r>
          </w:p>
        </w:tc>
      </w:tr>
      <w:tr>
        <w:tc>
          <w:tcPr>
            <w:tcW w:type="dxa" w:w="2154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量化模式</w:t>
            </w:r>
          </w:p>
        </w:tc>
        <w:tc>
          <w:tcPr>
            <w:tcW w:type="dxa" w:w="306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CLE</w:t>
            </w:r>
          </w:p>
        </w:tc>
        <w:tc>
          <w:tcPr>
            <w:tcW w:type="dxa" w:w="36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逐张量对称量化</w:t>
            </w:r>
          </w:p>
        </w:tc>
      </w:tr>
      <w:tr>
        <w:tc>
          <w:tcPr>
            <w:tcW w:type="dxa" w:w="2154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校准数据集</w:t>
            </w:r>
          </w:p>
        </w:tc>
        <w:tc>
          <w:tcPr>
            <w:tcW w:type="dxa" w:w="306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Custom，789 张</w:t>
            </w:r>
          </w:p>
        </w:tc>
        <w:tc>
          <w:tcPr>
            <w:tcW w:type="dxa" w:w="36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真实赛场图像</w:t>
            </w:r>
          </w:p>
        </w:tc>
      </w:tr>
      <w:tr>
        <w:tc>
          <w:tcPr>
            <w:tcW w:type="dxa" w:w="2154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色彩模式</w:t>
            </w:r>
          </w:p>
        </w:tc>
        <w:tc>
          <w:tcPr>
            <w:tcW w:type="dxa" w:w="306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RGB</w:t>
            </w:r>
          </w:p>
        </w:tc>
        <w:tc>
          <w:tcPr>
            <w:tcW w:type="dxa" w:w="36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与预处理顺序一致</w:t>
            </w:r>
          </w:p>
        </w:tc>
      </w:tr>
      <w:tr>
        <w:tc>
          <w:tcPr>
            <w:tcW w:type="dxa" w:w="2154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均值 / 方差</w:t>
            </w:r>
          </w:p>
        </w:tc>
        <w:tc>
          <w:tcPr>
            <w:tcW w:type="dxa" w:w="306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0,0,0 / 255,255,255</w:t>
            </w:r>
          </w:p>
        </w:tc>
        <w:tc>
          <w:tcPr>
            <w:tcW w:type="dxa" w:w="36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等价于像素除以 255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目标平台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QCS6490 / QNN 2.31</w:t>
            </w:r>
          </w:p>
        </w:tc>
        <w:tc>
          <w:tcPr>
            <w:tcW w:type="dxa" w:w="3628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板端 2.36 运行时可直接加载</w:t>
            </w:r>
          </w:p>
        </w:tc>
      </w:tr>
    </w:tbl>
    <w:p>
      <w:pPr>
        <w:spacing w:after="40"/>
      </w:pPr>
    </w:p>
    <w:p>
      <w:pPr>
        <w:pStyle w:val="Heading2"/>
      </w:pPr>
      <w:r>
        <w:t>4.2 模型接口对齐</w:t>
      </w:r>
    </w:p>
    <w:p>
      <w:pPr>
        <w:keepNext/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转换后的模型与旧模型在三处接口约定上存在差异，均已在推理层与后处理层以配置项方式适配，不需要修改算法代码：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接口点</w:t>
            </w:r>
          </w:p>
        </w:tc>
        <w:tc>
          <w:tcPr>
            <w:tcW w:type="dxa" w:w="4649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处理方式</w:t>
            </w:r>
          </w:p>
        </w:tc>
        <w:tc>
          <w:tcPr>
            <w:tcW w:type="dxa" w:w="1928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配置项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输入张量类型</w:t>
            </w:r>
          </w:p>
        </w:tc>
        <w:tc>
          <w:tcPr>
            <w:tcW w:type="dxa" w:w="4649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统一以 float32（0~1）提交，由 SDK 完成量化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InputType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输出激活函数</w:t>
            </w:r>
          </w:p>
        </w:tc>
        <w:tc>
          <w:tcPr>
            <w:tcW w:type="dxa" w:w="4649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模型输出为 logits，在 NMS 前施加 sigmoid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ApplySigmoid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四点输出顺序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按模型实际顺序解析为 左上-左下-右下-右上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PointOrder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三点全部适配后，实景装甲板的检测置信度稳定在 0.84 ~ 0.99，四角点与灯条内缘精确贴合。</w:t>
      </w:r>
    </w:p>
    <w:p>
      <w:pPr>
        <w:pStyle w:val="Heading1"/>
      </w:pPr>
      <w:r>
        <w:t>五、相机接入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海康 MV-CS016-10UC 采用 USB3 Vision 协议而非标准 UVC，需要通过 MVS SDK 访问。板端完整部署了与相机固件匹配的 SDK（含 USB3 传输层），实现 1440×1080 @ 60 fps 采集，并由 SDK 完成 Bayer RG8 → BGR 的硬件像素格式转换，CPU 占用显著低于软件转换方案。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针对相机可能倒装的情况，系统提供了安装姿态补偿配置 FlipMode，支持上下翻转、左右镜像与 180° 旋转三种模式，在采集回调中一次性完成翻转，不额外增加推理链路开销。</w:t>
      </w:r>
    </w:p>
    <w:p>
      <w:pPr>
        <w:pStyle w:val="Heading1"/>
      </w:pPr>
      <w:r>
        <w:t>六、运行效果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下图是系统在实景下的运行界面，通过 VNC 远程查看板端显示窗口。画面中可见：实时图像、装甲板四角点检测框，以及左侧的跟踪状态信息（EKF / KF 的角度与角速度估计、跟踪队列计数、解算距离）。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15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gu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1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等线" w:hAnsi="等线" w:eastAsia="等线"/>
          <w:color w:val="595959"/>
          <w:sz w:val="19"/>
        </w:rPr>
        <w:t>图 2  系统运行时界面：装甲板四角点定位与跟踪状态输出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图中 update num 已达 1746、Track 计数 1748，说明跟踪链路在长时间运行中持续稳定工作；跟踪状态持续输出角度与角速度估计，为后续弹道解算提供输入。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_liv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等线" w:hAnsi="等线" w:eastAsia="等线"/>
          <w:color w:val="595959"/>
          <w:sz w:val="19"/>
        </w:rPr>
        <w:t>图 3  实机相机对蓝色装甲板的检测结果（置信度 0.544，四角点贴合灯条内缘）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在标准测试视频上的批量验证同样稳定，连续帧均能正确检出并给出精确的四角点：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4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_vide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等线" w:hAnsi="等线" w:eastAsia="等线"/>
          <w:color w:val="595959"/>
          <w:sz w:val="19"/>
        </w:rPr>
        <w:t>图 4  测试视频序列中的检测结果（置信度 0.92）</w:t>
      </w:r>
    </w:p>
    <w:p>
      <w:pPr>
        <w:pStyle w:val="Heading1"/>
      </w:pPr>
      <w:r>
        <w:t>七、性能指标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单帧全链路耗时拆解如下（640×640 输入，1440×1080 原始图像）：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4876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1928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耗时</w:t>
            </w:r>
          </w:p>
        </w:tc>
        <w:tc>
          <w:tcPr>
            <w:tcW w:type="dxa" w:w="1928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占比</w:t>
            </w:r>
          </w:p>
        </w:tc>
      </w:tr>
      <w:tr>
        <w:tc>
          <w:tcPr>
            <w:tcW w:type="dxa" w:w="4876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图像预处理（letterbox + RGB + 归一化）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5.0 ms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50%</w:t>
            </w:r>
          </w:p>
        </w:tc>
      </w:tr>
      <w:tr>
        <w:tc>
          <w:tcPr>
            <w:tcW w:type="dxa" w:w="4876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输入张量提交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0.3 ms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3%</w:t>
            </w:r>
          </w:p>
        </w:tc>
      </w:tr>
      <w:tr>
        <w:tc>
          <w:tcPr>
            <w:tcW w:type="dxa" w:w="4876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NPU 推理（Hexagon HTP）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3.3 ms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33%</w:t>
            </w:r>
          </w:p>
        </w:tc>
      </w:tr>
      <w:tr>
        <w:tc>
          <w:tcPr>
            <w:tcW w:type="dxa" w:w="4876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结果取回与反量化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1.4 ms</w:t>
            </w:r>
          </w:p>
        </w:tc>
        <w:tc>
          <w:tcPr>
            <w:tcW w:type="dxa" w:w="1928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14%</w:t>
            </w:r>
          </w:p>
        </w:tc>
      </w:tr>
      <w:tr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10.0 ms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100%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对应流水线帧率为 100 fps。其中 NPU 推理仅占三分之一，主要耗时集中在 CPU 端的图像预处理，这也说明当前配置下 NPU 仍有充足算力余量，后续可承担更大的模型或多任务并行。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能力项</w:t>
            </w:r>
          </w:p>
        </w:tc>
        <w:tc>
          <w:tcPr>
            <w:tcW w:type="dxa" w:w="6009"/>
            <w:shd w:val="clear" w:color="auto" w:fill="DCE6F1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流水线帧率</w:t>
            </w:r>
          </w:p>
        </w:tc>
        <w:tc>
          <w:tcPr>
            <w:tcW w:type="dxa" w:w="6009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100 fps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NPU 单次推理</w:t>
            </w:r>
          </w:p>
        </w:tc>
        <w:tc>
          <w:tcPr>
            <w:tcW w:type="dxa" w:w="6009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3.3 ms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相机采集帧率</w:t>
            </w:r>
          </w:p>
        </w:tc>
        <w:tc>
          <w:tcPr>
            <w:tcW w:type="dxa" w:w="6009"/>
          </w:tcPr>
          <w:p>
            <w:pPr>
              <w:keepNext/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60 fps（1440×1080）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sz w:val="20"/>
              </w:rPr>
              <w:t>模型体积</w:t>
            </w:r>
          </w:p>
        </w:tc>
        <w:tc>
          <w:tcPr>
            <w:tcW w:type="dxa" w:w="6009"/>
          </w:tcPr>
          <w:p>
            <w:pPr>
              <w:spacing w:after="40"/>
              <w:jc w:val="center"/>
            </w:pPr>
            <w:r/>
            <w:r>
              <w:rPr>
                <w:rFonts w:ascii="等线" w:hAnsi="等线" w:eastAsia="等线"/>
                <w:sz w:val="20"/>
              </w:rPr>
              <w:t>2.5 MB（w8a16 上下文二进制）</w:t>
            </w:r>
          </w:p>
        </w:tc>
      </w:tr>
    </w:tbl>
    <w:p>
      <w:pPr>
        <w:spacing w:after="40"/>
      </w:pPr>
    </w:p>
    <w:p>
      <w:pPr>
        <w:pStyle w:val="Heading1"/>
      </w:pPr>
      <w:r>
        <w:t>八、关键成果</w:t>
      </w:r>
    </w:p>
    <w:p>
      <w:pPr>
        <w:pStyle w:val="ListBullet"/>
        <w:spacing w:after="60" w:line="324" w:lineRule="auto"/>
      </w:pPr>
      <w:r>
        <w:rPr>
          <w:rFonts w:ascii="等线" w:hAnsi="等线" w:eastAsia="等线"/>
          <w:sz w:val="21"/>
        </w:rPr>
        <w:t>算法零改动完成平台迁移：自瞄算法、跟踪、解算、控制逻辑全部沿用原实现，仅替换推理与图像采集层。</w:t>
      </w:r>
    </w:p>
    <w:p>
      <w:pPr>
        <w:pStyle w:val="ListBullet"/>
        <w:spacing w:after="60" w:line="324" w:lineRule="auto"/>
      </w:pPr>
      <w:r>
        <w:rPr>
          <w:rFonts w:ascii="等线" w:hAnsi="等线" w:eastAsia="等线"/>
          <w:sz w:val="21"/>
        </w:rPr>
        <w:t>推理后端可切换：同一份代码在 NPU 与 GPU 平台均可编译运行，保留原有平台的回退能力。</w:t>
      </w:r>
    </w:p>
    <w:p>
      <w:pPr>
        <w:pStyle w:val="ListBullet"/>
        <w:spacing w:after="60" w:line="324" w:lineRule="auto"/>
      </w:pPr>
      <w:r>
        <w:rPr>
          <w:rFonts w:ascii="等线" w:hAnsi="等线" w:eastAsia="等线"/>
          <w:sz w:val="21"/>
        </w:rPr>
        <w:t>性能达标：NPU 推理 3.3 ms，流水线 100 fps，满足对抗场景实时性要求。</w:t>
      </w:r>
    </w:p>
    <w:p>
      <w:pPr>
        <w:pStyle w:val="ListBullet"/>
        <w:spacing w:after="60" w:line="324" w:lineRule="auto"/>
      </w:pPr>
      <w:r>
        <w:rPr>
          <w:rFonts w:ascii="等线" w:hAnsi="等线" w:eastAsia="等线"/>
          <w:sz w:val="21"/>
        </w:rPr>
        <w:t>检测精度可靠：实景装甲板置信度 0.84 ~ 0.99，四角点与灯条内缘精确贴合，可直接供 PnP 使用。</w:t>
      </w:r>
    </w:p>
    <w:p>
      <w:pPr>
        <w:pStyle w:val="ListBullet"/>
        <w:spacing w:after="60" w:line="324" w:lineRule="auto"/>
      </w:pPr>
      <w:r>
        <w:rPr>
          <w:rFonts w:ascii="等线" w:hAnsi="等线" w:eastAsia="等线"/>
          <w:sz w:val="21"/>
        </w:rPr>
        <w:t>工程化完整：离线依赖包、编译安装脚本、模型转换参数、运行与可视化方案全部落地并归档。</w:t>
      </w:r>
    </w:p>
    <w:p>
      <w:pPr>
        <w:pStyle w:val="Heading1"/>
      </w:pPr>
      <w:r>
        <w:t>九、后续提升方向</w:t>
      </w:r>
    </w:p>
    <w:p>
      <w:pPr>
        <w:spacing w:after="120" w:line="348" w:lineRule="auto"/>
        <w:ind w:firstLine="420"/>
      </w:pPr>
      <w:r>
        <w:rPr>
          <w:rFonts w:ascii="等线" w:hAnsi="等线" w:eastAsia="等线"/>
          <w:b w:val="0"/>
          <w:sz w:val="21"/>
        </w:rPr>
        <w:t>当前 NPU 单次推理仅占单帧耗时的 33%，算力仍有较大余量。后续可将推理层扩展为双实例并行：在同一 NPU 上创建两个推理上下文，配合输入输出双缓冲，使预处理与推理在不同帧上重叠执行。按当前各阶段耗时估算，该方案可将流水线帧率由 100 fps 进一步提升至 140 fps 以上，同时为多相机接入或多任务并行（如同时运行打符模型）预留算力。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