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MOBILITY PLATFORM</w:t>
      </w:r>
    </w:p>
    <w:p>
      <w:pPr>
        <w:spacing w:after="40" w:before="0"/>
      </w:pPr>
      <w:r>
        <w:rPr>
          <w:rFonts w:ascii="Arial" w:cs="Arial" w:eastAsia="Arial" w:hAnsi="Arial"/>
          <w:color w:val="6B6B6B"/>
          <w:sz w:val="24"/>
          <w:szCs w:val="24"/>
        </w:rPr>
        <w:t xml:space="preserve">Análisis de mercado y propuesta de valor · Pitch para inversor</w:t>
      </w:r>
    </w:p>
    <w:p>
      <w:pPr>
        <w:pBdr>
          <w:bottom w:val="single" w:color="2E5FA3" w:sz="8" w:space="8"/>
        </w:pBdr>
        <w:spacing w:after="400" w:before="0"/>
      </w:pPr>
      <w:r>
        <w:rPr>
          <w:rFonts w:ascii="Arial" w:cs="Arial" w:eastAsia="Arial" w:hAnsi="Arial"/>
          <w:color w:val="2E5FA3"/>
          <w:sz w:val="20"/>
          <w:szCs w:val="20"/>
        </w:rPr>
        <w:t xml:space="preserve">España · Datos actualizados a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6"/>
                <w:szCs w:val="16"/>
              </w:rPr>
              <w:t xml:space="preserve">Mercado VO España 2025</w:t>
            </w:r>
          </w:p>
          <w:p>
            <w:pPr>
              <w:spacing w:after="0" w:before="40"/>
            </w:pPr>
            <w:r>
              <w:rPr>
                <w:rFonts w:ascii="Arial" w:cs="Arial" w:eastAsia="Arial" w:hAnsi="Arial"/>
                <w:b/>
                <w:bCs/>
                <w:color w:val="2E5FA3"/>
                <w:sz w:val="24"/>
                <w:szCs w:val="24"/>
              </w:rPr>
              <w:t xml:space="preserve">2,22M unidades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6"/>
                <w:szCs w:val="16"/>
              </w:rPr>
              <w:t xml:space="preserve">Precio medio transacción</w:t>
            </w:r>
          </w:p>
          <w:p>
            <w:pPr>
              <w:spacing w:after="0" w:before="40"/>
            </w:pPr>
            <w:r>
              <w:rPr>
                <w:rFonts w:ascii="Arial" w:cs="Arial" w:eastAsia="Arial" w:hAnsi="Arial"/>
                <w:b/>
                <w:bCs/>
                <w:color w:val="2E5FA3"/>
                <w:sz w:val="24"/>
                <w:szCs w:val="24"/>
              </w:rPr>
              <w:t xml:space="preserve">~13.000 €</w:t>
            </w:r>
          </w:p>
        </w:tc>
        <w:tc>
          <w:tcPr>
            <w:tcW w:type="dxa" w:w="225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6"/>
                <w:szCs w:val="16"/>
              </w:rPr>
              <w:t xml:space="preserve">SAM plataforma (estacionario)</w:t>
            </w:r>
          </w:p>
          <w:p>
            <w:pPr>
              <w:spacing w:after="0" w:before="40"/>
            </w:pPr>
            <w:r>
              <w:rPr>
                <w:rFonts w:ascii="Arial" w:cs="Arial" w:eastAsia="Arial" w:hAnsi="Arial"/>
                <w:b/>
                <w:bCs/>
                <w:color w:val="1E6B3C"/>
                <w:sz w:val="24"/>
                <w:szCs w:val="24"/>
              </w:rPr>
              <w:t xml:space="preserve">530–960 M€/año</w:t>
            </w:r>
          </w:p>
        </w:tc>
        <w:tc>
          <w:tcPr>
            <w:tcW w:type="dxa" w:w="225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6"/>
                <w:szCs w:val="16"/>
              </w:rPr>
              <w:t xml:space="preserve">Parque vehículos España</w:t>
            </w:r>
          </w:p>
          <w:p>
            <w:pPr>
              <w:spacing w:after="0" w:before="40"/>
            </w:pPr>
            <w:r>
              <w:rPr>
                <w:rFonts w:ascii="Arial" w:cs="Arial" w:eastAsia="Arial" w:hAnsi="Arial"/>
                <w:b/>
                <w:bCs/>
                <w:color w:val="9C6E00"/>
                <w:sz w:val="24"/>
                <w:szCs w:val="24"/>
              </w:rPr>
              <w:t xml:space="preserve">34,7M unidades</w:t>
            </w:r>
          </w:p>
        </w:tc>
      </w:tr>
    </w:tbl>
    <w:p>
      <w:pPr>
        <w:spacing w:after="0" w:before="0"/>
      </w:pPr>
      <w:r>
        <w:t xml:space="preserve"/>
      </w:r>
    </w:p>
    <w:p>
      <w:pPr>
        <w:spacing w:after="0" w:before="0"/>
      </w:pPr>
      <w:r>
        <w:t xml:space="preserve"/>
      </w:r>
    </w:p>
    <w:p>
      <w:pPr>
        <w:pStyle w:val="Heading1"/>
        <w:pBdr>
          <w:bottom w:val="single" w:color="2E5FA3" w:sz="8" w:space="4"/>
        </w:pBdr>
        <w:spacing w:after="120" w:before="320"/>
      </w:pPr>
      <w:r>
        <w:rPr>
          <w:rFonts w:ascii="Arial" w:cs="Arial" w:eastAsia="Arial" w:hAnsi="Arial"/>
          <w:b/>
          <w:bCs/>
          <w:color w:val="1F3864"/>
          <w:sz w:val="26"/>
          <w:szCs w:val="26"/>
        </w:rPr>
        <w:t xml:space="preserve">1. El problema</w:t>
      </w:r>
    </w:p>
    <w:p>
      <w:pPr>
        <w:pStyle w:val="Heading2"/>
        <w:spacing w:after="80" w:before="240"/>
      </w:pPr>
      <w:r>
        <w:rPr>
          <w:rFonts w:ascii="Arial" w:cs="Arial" w:eastAsia="Arial" w:hAnsi="Arial"/>
          <w:b/>
          <w:bCs/>
          <w:color w:val="2E5FA3"/>
          <w:sz w:val="22"/>
          <w:szCs w:val="22"/>
        </w:rPr>
        <w:t xml:space="preserve">1.1 Problema central — asimetría radical de información</w:t>
      </w:r>
    </w:p>
    <w:p>
      <w:pPr>
        <w:spacing w:after="80" w:before="0"/>
      </w:pPr>
      <w:r>
        <w:rPr>
          <w:rFonts w:ascii="Arial" w:cs="Arial" w:eastAsia="Arial" w:hAnsi="Arial"/>
          <w:color w:val="2C2C2C"/>
          <w:sz w:val="20"/>
          <w:szCs w:val="20"/>
        </w:rPr>
        <w:t xml:space="preserve">En el mercado de coches usados, el vendedor —concesionario o particular— conoce el historial real del vehículo. El comprador no. Esta asimetría no es un defecto del sistema: es el modelo de negocio de quienes intermedian. El resultado es que el comprador toma la decisión más cara de su vida —tras la vivienda— sin información fiable, sin comparación de coste real y sin asesoramiento neutral.</w:t>
      </w:r>
    </w:p>
    <w:p>
      <w:pPr>
        <w:spacing w:after="80" w:before="0"/>
      </w:pPr>
      <w:r>
        <w:rPr>
          <w:rFonts w:ascii="Arial" w:cs="Arial" w:eastAsia="Arial" w:hAnsi="Arial"/>
          <w:b/>
          <w:bCs/>
          <w:color w:val="C0392B"/>
          <w:sz w:val="20"/>
          <w:szCs w:val="20"/>
        </w:rPr>
        <w:t xml:space="preserve">El 41% de las transacciones son vehículos de más de 15 años, el segmento donde el riesgo oculto es máximo y la transparencia, mínima. En 2025 se vendieron 2,22 millones de coches usados en España: por cada coche nuevo se vendieron 1,9 usados.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color="FFFFFF" w:sz="0"/>
              <w:left w:val="none" w:color="FFFFFF" w:sz="0"/>
              <w:bottom w:val="none" w:color="FFFFFF" w:sz="0"/>
              <w:right w:val="none" w:color="FFFFFF" w:sz="0"/>
            </w:tcBorders>
            <w:shd w:fill="C0392B" w:val="clear"/>
          </w:tcPr>
          <w:p/>
        </w:tc>
        <w:tc>
          <w:tcPr>
            <w:tcW w:type="dxa" w:w="8906"/>
            <w:tcBorders>
              <w:top w:val="none" w:color="FFFFFF" w:sz="0"/>
              <w:left w:val="none" w:color="FFFFFF" w:sz="0"/>
              <w:bottom w:val="none" w:color="FFFFFF" w:sz="0"/>
              <w:right w:val="none" w:color="FFFFFF" w:sz="0"/>
            </w:tcBorders>
            <w:shd w:fill="FDECEA" w:val="clear"/>
            <w:tcMar>
              <w:top w:type="dxa" w:w="120"/>
              <w:left w:type="dxa" w:w="180"/>
              <w:bottom w:type="dxa" w:w="120"/>
              <w:right w:type="dxa" w:w="120"/>
            </w:tcMar>
          </w:tcPr>
          <w:p>
            <w:r>
              <w:rPr>
                <w:rFonts w:ascii="Arial" w:cs="Arial" w:eastAsia="Arial" w:hAnsi="Arial"/>
                <w:b/>
                <w:bCs/>
                <w:color w:val="C0392B"/>
                <w:spacing w:val="20"/>
                <w:sz w:val="16"/>
                <w:szCs w:val="16"/>
              </w:rPr>
              <w:t xml:space="preserve">PROBLEMA CENTRAL — ASIMETRÍA RADICAL DE INFORMACIÓN</w:t>
            </w:r>
          </w:p>
          <w:p>
            <w:r>
              <w:rPr>
                <w:rFonts w:ascii="Arial" w:cs="Arial" w:eastAsia="Arial" w:hAnsi="Arial"/>
                <w:b/>
                <w:bCs/>
                <w:color w:val="C0392B"/>
                <w:sz w:val="24"/>
                <w:szCs w:val="24"/>
              </w:rPr>
              <w:t xml:space="preserve">2,22M transacciones VO/año en España</w:t>
            </w:r>
          </w:p>
          <w:p>
            <w:pPr>
              <w:spacing w:after="0" w:before="60"/>
            </w:pPr>
            <w:r>
              <w:rPr>
                <w:rFonts w:ascii="Arial" w:cs="Arial" w:eastAsia="Arial" w:hAnsi="Arial"/>
                <w:color w:val="2C2C2C"/>
                <w:sz w:val="20"/>
                <w:szCs w:val="20"/>
              </w:rPr>
              <w:t xml:space="preserve">El comprador toma la decisión más cara de su vida —tras la vivienda— sin información fiable, sin comparación de coste real y sin asesoramiento neutral. El 41% de las transacciones son vehículos de más de 15 años, donde el riesgo oculto es máximo y la transparencia, mínima.</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color="FFFFFF" w:sz="0"/>
              <w:left w:val="none" w:color="FFFFFF" w:sz="0"/>
              <w:bottom w:val="none" w:color="FFFFFF" w:sz="0"/>
              <w:right w:val="none" w:color="FFFFFF" w:sz="0"/>
            </w:tcBorders>
            <w:shd w:fill="9C6E00" w:val="clear"/>
          </w:tcPr>
          <w:p/>
        </w:tc>
        <w:tc>
          <w:tcPr>
            <w:tcW w:type="dxa" w:w="8906"/>
            <w:tcBorders>
              <w:top w:val="none" w:color="FFFFFF" w:sz="0"/>
              <w:left w:val="none" w:color="FFFFFF" w:sz="0"/>
              <w:bottom w:val="none" w:color="FFFFFF" w:sz="0"/>
              <w:right w:val="none" w:color="FFFFFF" w:sz="0"/>
            </w:tcBorders>
            <w:shd w:fill="FEF3D7" w:val="clear"/>
            <w:tcMar>
              <w:top w:type="dxa" w:w="120"/>
              <w:left w:type="dxa" w:w="180"/>
              <w:bottom w:type="dxa" w:w="120"/>
              <w:right w:type="dxa" w:w="120"/>
            </w:tcMar>
          </w:tcPr>
          <w:p>
            <w:r>
              <w:rPr>
                <w:rFonts w:ascii="Arial" w:cs="Arial" w:eastAsia="Arial" w:hAnsi="Arial"/>
                <w:b/>
                <w:bCs/>
                <w:color w:val="9C6E00"/>
                <w:spacing w:val="20"/>
                <w:sz w:val="16"/>
                <w:szCs w:val="16"/>
              </w:rPr>
              <w:t xml:space="preserve">PROBLEMA DERIVADO — EL VEHÍCULO COMO ACTIVO SIN GESTIÓN</w:t>
            </w:r>
          </w:p>
          <w:p>
            <w:r>
              <w:rPr>
                <w:rFonts w:ascii="Arial" w:cs="Arial" w:eastAsia="Arial" w:hAnsi="Arial"/>
                <w:b/>
                <w:bCs/>
                <w:color w:val="9C6E00"/>
                <w:sz w:val="24"/>
                <w:szCs w:val="24"/>
              </w:rPr>
              <w:t xml:space="preserve">~2.800 € de coste anual medio de mantenimiento y seguros</w:t>
            </w:r>
          </w:p>
          <w:p>
            <w:pPr>
              <w:spacing w:after="0" w:before="60"/>
            </w:pPr>
            <w:r>
              <w:rPr>
                <w:rFonts w:ascii="Arial" w:cs="Arial" w:eastAsia="Arial" w:hAnsi="Arial"/>
                <w:color w:val="2C2C2C"/>
                <w:sz w:val="20"/>
                <w:szCs w:val="20"/>
              </w:rPr>
              <w:t xml:space="preserve">Una vez comprado el coche, el propietario gestiona su activo de forma reactiva: va al taller cuando algo falla, renueva el seguro sin comparar, paga multas sin contestarlas y desconoce cuándo el punto de inflexión entre reparar y vender ha llegado. No existe ningún producto que integre la gestión proactiva del ciclo de vida del vehículo.</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color="FFFFFF" w:sz="0"/>
              <w:left w:val="none" w:color="FFFFFF" w:sz="0"/>
              <w:bottom w:val="none" w:color="FFFFFF" w:sz="0"/>
              <w:right w:val="none" w:color="FFFFFF" w:sz="0"/>
            </w:tcBorders>
            <w:shd w:fill="6B6B6B" w:val="clear"/>
          </w:tcPr>
          <w:p/>
        </w:tc>
        <w:tc>
          <w:tcPr>
            <w:tcW w:type="dxa" w:w="8906"/>
            <w:tcBorders>
              <w:top w:val="none" w:color="FFFFFF" w:sz="0"/>
              <w:left w:val="none" w:color="FFFFFF" w:sz="0"/>
              <w:bottom w:val="none" w:color="FFFFFF" w:sz="0"/>
              <w:right w:val="none" w:color="FFFFFF" w:sz="0"/>
            </w:tcBorders>
            <w:shd w:fill="F2F2F2" w:val="clear"/>
            <w:tcMar>
              <w:top w:type="dxa" w:w="120"/>
              <w:left w:type="dxa" w:w="180"/>
              <w:bottom w:type="dxa" w:w="120"/>
              <w:right w:type="dxa" w:w="120"/>
            </w:tcMar>
          </w:tcPr>
          <w:p>
            <w:r>
              <w:rPr>
                <w:rFonts w:ascii="Arial" w:cs="Arial" w:eastAsia="Arial" w:hAnsi="Arial"/>
                <w:b/>
                <w:bCs/>
                <w:color w:val="6B6B6B"/>
                <w:spacing w:val="20"/>
                <w:sz w:val="16"/>
                <w:szCs w:val="16"/>
              </w:rPr>
              <w:t xml:space="preserve">PROBLEMA ESTRUCTURAL — EL CANAL TIENE LOS INCENTIVOS INVERTIDOS</w:t>
            </w:r>
          </w:p>
          <w:p>
            <w:pPr>
              <w:spacing w:after="0" w:before="60"/>
            </w:pPr>
            <w:r>
              <w:rPr>
                <w:rFonts w:ascii="Arial" w:cs="Arial" w:eastAsia="Arial" w:hAnsi="Arial"/>
                <w:color w:val="2C2C2C"/>
                <w:sz w:val="20"/>
                <w:szCs w:val="20"/>
              </w:rPr>
              <w:t xml:space="preserve">Concesionarios, compraventas y portales de clasificados cobran de quien vende, no de quien compra. El renting se prescribe en función del margen del distribuidor, no de la necesidad real del cliente. No existe en el mercado español un actor cuyo ingreso dependa de que el comprador tome la mejor decisión.</w:t>
            </w:r>
          </w:p>
        </w:tc>
      </w:tr>
    </w:tbl>
    <w:p>
      <w:pPr>
        <w:spacing w:after="0" w:before="0"/>
      </w:pPr>
      <w:r>
        <w:t xml:space="preserve"/>
      </w:r>
    </w:p>
    <w:p>
      <w:pPr>
        <w:spacing w:after="0" w:before="0"/>
      </w:pPr>
      <w:r>
        <w:t xml:space="preserve"/>
      </w:r>
    </w:p>
    <w:p>
      <w:pPr>
        <w:pStyle w:val="Heading1"/>
        <w:pBdr>
          <w:bottom w:val="single" w:color="2E5FA3" w:sz="8" w:space="4"/>
        </w:pBdr>
        <w:spacing w:after="120" w:before="320"/>
      </w:pPr>
      <w:r>
        <w:rPr>
          <w:rFonts w:ascii="Arial" w:cs="Arial" w:eastAsia="Arial" w:hAnsi="Arial"/>
          <w:b/>
          <w:bCs/>
          <w:color w:val="1F3864"/>
          <w:sz w:val="26"/>
          <w:szCs w:val="26"/>
        </w:rPr>
        <w:t xml:space="preserve">2. La solución · cadena de valor integral</w:t>
      </w:r>
    </w:p>
    <w:p>
      <w:pPr>
        <w:spacing w:after="80" w:before="0"/>
      </w:pPr>
      <w:r>
        <w:rPr>
          <w:rFonts w:ascii="Arial" w:cs="Arial" w:eastAsia="Arial" w:hAnsi="Arial"/>
          <w:color w:val="2C2C2C"/>
          <w:sz w:val="20"/>
          <w:szCs w:val="20"/>
        </w:rPr>
        <w:t xml:space="preserve">La plataforma cubre el ciclo completo del vehículo como activo: prescripción → compra VO → gestión → venta. El diferencial competitivo se concentra en los tres últimos módulos, donde la asimetría de información y el dolor del usuario son máximos.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
        <w:gridCol w:w="2200"/>
        <w:gridCol w:w="200"/>
        <w:gridCol w:w="2200"/>
        <w:gridCol w:w="200"/>
        <w:gridCol w:w="2026"/>
      </w:tblGrid>
      <w:tr>
        <w:tc>
          <w:tcPr>
            <w:tcW w:type="dxa" w:w="2000"/>
            <w:tcBorders>
              <w:top w:val="single" w:color="CCCCCC" w:sz="1"/>
              <w:left w:val="single" w:color="CCCCCC" w:sz="1"/>
              <w:bottom w:val="single" w:color="CCCCCC" w:sz="1"/>
              <w:right w:val="single" w:color="CCCCCC" w:sz="1"/>
            </w:tcBorders>
            <w:shd w:fill="D5E4F7" w:val="clear"/>
            <w:tcMar>
              <w:top w:type="dxa" w:w="120"/>
              <w:left w:type="dxa" w:w="140"/>
              <w:bottom w:type="dxa" w:w="120"/>
              <w:right w:type="dxa" w:w="140"/>
            </w:tcMar>
          </w:tcPr>
          <w:p>
            <w:pPr>
              <w:jc w:val="center"/>
            </w:pPr>
            <w:r>
              <w:rPr>
                <w:rFonts w:ascii="Arial" w:cs="Arial" w:eastAsia="Arial" w:hAnsi="Arial"/>
                <w:b/>
                <w:bCs/>
                <w:color w:val="2E5FA3"/>
                <w:sz w:val="20"/>
                <w:szCs w:val="20"/>
              </w:rPr>
              <w:t xml:space="preserve">Prescripción</w:t>
            </w:r>
          </w:p>
          <w:p>
            <w:pPr>
              <w:spacing w:after="0" w:before="40"/>
              <w:jc w:val="center"/>
            </w:pPr>
            <w:r>
              <w:rPr>
                <w:rFonts w:ascii="Arial" w:cs="Arial" w:eastAsia="Arial" w:hAnsi="Arial"/>
                <w:color w:val="6B6B6B"/>
                <w:sz w:val="17"/>
                <w:szCs w:val="17"/>
              </w:rPr>
              <w:t xml:space="preserve">¿Qué vehículo necesito?</w:t>
            </w:r>
          </w:p>
        </w:tc>
        <w:tc>
          <w:tcPr>
            <w:tcW w:type="dxa" w:w="2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6B6B6B"/>
                <w:sz w:val="24"/>
                <w:szCs w:val="24"/>
              </w:rPr>
              <w:t xml:space="preserve">›</w:t>
            </w:r>
          </w:p>
        </w:tc>
        <w:tc>
          <w:tcPr>
            <w:tcW w:type="dxa" w:w="2200"/>
            <w:tcBorders>
              <w:top w:val="single" w:color="CCCCCC" w:sz="1"/>
              <w:left w:val="single" w:color="CCCCCC" w:sz="1"/>
              <w:bottom w:val="single" w:color="CCCCCC" w:sz="1"/>
              <w:right w:val="single" w:color="CCCCCC" w:sz="1"/>
            </w:tcBorders>
            <w:shd w:fill="2E5FA3"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Compra VO</w:t>
            </w:r>
          </w:p>
          <w:p>
            <w:pPr>
              <w:spacing w:after="0" w:before="40"/>
              <w:jc w:val="center"/>
            </w:pPr>
            <w:r>
              <w:rPr>
                <w:rFonts w:ascii="Arial" w:cs="Arial" w:eastAsia="Arial" w:hAnsi="Arial"/>
                <w:color w:val="C5D8F0"/>
                <w:sz w:val="17"/>
                <w:szCs w:val="17"/>
              </w:rPr>
              <w:t xml:space="preserve">Asesoramiento + scoring</w:t>
            </w:r>
          </w:p>
        </w:tc>
        <w:tc>
          <w:tcPr>
            <w:tcW w:type="dxa" w:w="2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6B6B6B"/>
                <w:sz w:val="24"/>
                <w:szCs w:val="24"/>
              </w:rPr>
              <w:t xml:space="preserve">›</w:t>
            </w:r>
          </w:p>
        </w:tc>
        <w:tc>
          <w:tcPr>
            <w:tcW w:type="dxa" w:w="2200"/>
            <w:tcBorders>
              <w:top w:val="single" w:color="CCCCCC" w:sz="1"/>
              <w:left w:val="single" w:color="CCCCCC" w:sz="1"/>
              <w:bottom w:val="single" w:color="CCCCCC" w:sz="1"/>
              <w:right w:val="single" w:color="CCCCCC" w:sz="1"/>
            </w:tcBorders>
            <w:shd w:fill="2E5FA3"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Gestión activo</w:t>
            </w:r>
          </w:p>
          <w:p>
            <w:pPr>
              <w:spacing w:after="0" w:before="40"/>
              <w:jc w:val="center"/>
            </w:pPr>
            <w:r>
              <w:rPr>
                <w:rFonts w:ascii="Arial" w:cs="Arial" w:eastAsia="Arial" w:hAnsi="Arial"/>
                <w:color w:val="C5D8F0"/>
                <w:sz w:val="17"/>
                <w:szCs w:val="17"/>
              </w:rPr>
              <w:t xml:space="preserve">Propiedad activa</w:t>
            </w:r>
          </w:p>
        </w:tc>
        <w:tc>
          <w:tcPr>
            <w:tcW w:type="dxa" w:w="2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6B6B6B"/>
                <w:sz w:val="24"/>
                <w:szCs w:val="24"/>
              </w:rPr>
              <w:t xml:space="preserve">›</w:t>
            </w:r>
          </w:p>
        </w:tc>
        <w:tc>
          <w:tcPr>
            <w:tcW w:type="dxa" w:w="2026"/>
            <w:tcBorders>
              <w:top w:val="single" w:color="CCCCCC" w:sz="1"/>
              <w:left w:val="single" w:color="CCCCCC" w:sz="1"/>
              <w:bottom w:val="single" w:color="CCCCCC" w:sz="1"/>
              <w:right w:val="single" w:color="CCCCCC" w:sz="1"/>
            </w:tcBorders>
            <w:shd w:fill="2E5FA3"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Venta</w:t>
            </w:r>
          </w:p>
          <w:p>
            <w:pPr>
              <w:spacing w:after="0" w:before="40"/>
              <w:jc w:val="center"/>
            </w:pPr>
            <w:r>
              <w:rPr>
                <w:rFonts w:ascii="Arial" w:cs="Arial" w:eastAsia="Arial" w:hAnsi="Arial"/>
                <w:color w:val="C5D8F0"/>
                <w:sz w:val="17"/>
                <w:szCs w:val="17"/>
              </w:rPr>
              <w:t xml:space="preserve">Maximizar valor</w:t>
            </w:r>
          </w:p>
        </w:tc>
      </w:tr>
    </w:tbl>
    <w:p>
      <w:pPr>
        <w:spacing w:after="0" w:before="0"/>
      </w:pPr>
      <w:r>
        <w:t xml:space="preserve"/>
      </w:r>
    </w:p>
    <w:p>
      <w:pPr>
        <w:spacing w:after="0" w:before="0"/>
      </w:pPr>
      <w:r>
        <w:t xml:space="preserve"/>
      </w:r>
    </w:p>
    <w:p>
      <w:pPr>
        <w:pStyle w:val="Heading2"/>
        <w:spacing w:after="80" w:before="240"/>
      </w:pPr>
      <w:r>
        <w:rPr>
          <w:rFonts w:ascii="Arial" w:cs="Arial" w:eastAsia="Arial" w:hAnsi="Arial"/>
          <w:b/>
          <w:bCs/>
          <w:color w:val="2E5FA3"/>
          <w:sz w:val="22"/>
          <w:szCs w:val="22"/>
        </w:rPr>
        <w:t xml:space="preserve">2.1 Módulo compra VO — motor de scoring sin conflicto de interés</w:t>
      </w:r>
    </w:p>
    <w:p>
      <w:pPr>
        <w:spacing w:after="80" w:before="0"/>
      </w:pPr>
      <w:r>
        <w:rPr>
          <w:rFonts w:ascii="Arial" w:cs="Arial" w:eastAsia="Arial" w:hAnsi="Arial"/>
          <w:color w:val="2C2C2C"/>
          <w:sz w:val="20"/>
          <w:szCs w:val="20"/>
        </w:rPr>
        <w:t xml:space="preserve">El motor de recomendación aplica un scoring ponderado en seis dimensiones. Cinco de las seis eliminan opciones directamente antes de recomendar, garantizando que el resultado no es una ordenación de preferencias del vendedor sino una criba objetiva basada en el perfil del comprador.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Peso</w:t>
            </w:r>
          </w:p>
        </w:tc>
        <w:tc>
          <w:tcPr>
            <w:tcW w:type="dxa" w:w="40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Dimensión del scoring</w:t>
            </w:r>
          </w:p>
        </w:tc>
        <w:tc>
          <w:tcPr>
            <w:tcW w:type="dxa" w:w="3826"/>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Elimina opciones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5FA3"/>
                <w:sz w:val="20"/>
                <w:szCs w:val="20"/>
              </w:rPr>
              <w:t xml:space="preserve">30%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Encaje con uso real del cliente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C0392B"/>
                <w:sz w:val="19"/>
                <w:szCs w:val="19"/>
              </w:rPr>
              <w:t xml:space="preserve">Sí — eliminatoria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E5FA3"/>
                <w:sz w:val="20"/>
                <w:szCs w:val="20"/>
              </w:rPr>
              <w:t xml:space="preserve">25%</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2C2C2C"/>
                <w:sz w:val="19"/>
                <w:szCs w:val="19"/>
              </w:rPr>
              <w:t xml:space="preserve">Coste total mensual real (TCO)</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9"/>
                <w:szCs w:val="19"/>
              </w:rPr>
              <w:t xml:space="preserve">No — pondera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5FA3"/>
                <w:sz w:val="20"/>
                <w:szCs w:val="20"/>
              </w:rPr>
              <w:t xml:space="preserve">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Calidad y fiabilidad del modelo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C0392B"/>
                <w:sz w:val="19"/>
                <w:szCs w:val="19"/>
              </w:rPr>
              <w:t xml:space="preserve">Sí — eliminatoria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E5FA3"/>
                <w:sz w:val="20"/>
                <w:szCs w:val="20"/>
              </w:rPr>
              <w:t xml:space="preserve">10%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2C2C2C"/>
                <w:sz w:val="19"/>
                <w:szCs w:val="19"/>
              </w:rPr>
              <w:t xml:space="preserve">Rating del proveedor (compraventa)</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C0392B"/>
                <w:sz w:val="19"/>
                <w:szCs w:val="19"/>
              </w:rPr>
              <w:t xml:space="preserve">Sí — eliminatoria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5FA3"/>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Rating del fabricante (cualitativo)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C0392B"/>
                <w:sz w:val="19"/>
                <w:szCs w:val="19"/>
              </w:rPr>
              <w:t xml:space="preserve">Sí — eliminatoria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E5FA3"/>
                <w:sz w:val="20"/>
                <w:szCs w:val="20"/>
              </w:rPr>
              <w:t xml:space="preserve">10%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2C2C2C"/>
                <w:sz w:val="19"/>
                <w:szCs w:val="19"/>
              </w:rPr>
              <w:t xml:space="preserve">Etiqueta DGT y acceso ZBE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C0392B"/>
                <w:sz w:val="19"/>
                <w:szCs w:val="19"/>
              </w:rPr>
              <w:t xml:space="preserve">Sí — eliminatoria</w:t>
            </w:r>
          </w:p>
        </w:tc>
      </w:tr>
    </w:tbl>
    <w:p>
      <w:pPr>
        <w:spacing w:after="0" w:before="0"/>
      </w:pPr>
      <w:r>
        <w:t xml:space="preserve"/>
      </w:r>
    </w:p>
    <w:p>
      <w:pPr>
        <w:spacing w:after="60" w:before="0"/>
      </w:pPr>
      <w:r>
        <w:rPr>
          <w:rFonts w:ascii="Arial" w:cs="Arial" w:eastAsia="Arial" w:hAnsi="Arial"/>
          <w:b/>
          <w:bCs/>
          <w:color w:val="2E5FA3"/>
          <w:spacing w:val="20"/>
          <w:sz w:val="16"/>
          <w:szCs w:val="16"/>
        </w:rPr>
        <w:t xml:space="preserve">VÍAS DE MONETIZACIÓN — COMPRA VO</w:t>
      </w:r>
    </w:p>
    <w:p>
      <w:pPr>
        <w:pStyle w:val="ListParagraph"/>
        <w:numPr>
          <w:ilvl w:val="0"/>
          <w:numId w:val="2"/>
        </w:numPr>
        <w:spacing w:after="60" w:before="0"/>
      </w:pPr>
      <w:r>
        <w:rPr>
          <w:rFonts w:ascii="Arial" w:cs="Arial" w:eastAsia="Arial" w:hAnsi="Arial"/>
          <w:color w:val="2C2C2C"/>
          <w:sz w:val="20"/>
          <w:szCs w:val="20"/>
        </w:rPr>
        <w:t xml:space="preserve">Fee de asesoramiento: 200–500 € por operación asesorada</w:t>
      </w:r>
    </w:p>
    <w:p>
      <w:pPr>
        <w:pStyle w:val="ListParagraph"/>
        <w:numPr>
          <w:ilvl w:val="0"/>
          <w:numId w:val="2"/>
        </w:numPr>
        <w:spacing w:after="60" w:before="0"/>
      </w:pPr>
      <w:r>
        <w:rPr>
          <w:rFonts w:ascii="Arial" w:cs="Arial" w:eastAsia="Arial" w:hAnsi="Arial"/>
          <w:color w:val="2C2C2C"/>
          <w:sz w:val="20"/>
          <w:szCs w:val="20"/>
        </w:rPr>
        <w:t xml:space="preserve">Fee por lead (B2B): ~50 € por lead cualificado enviado a concesionario/compraventa</w:t>
      </w:r>
    </w:p>
    <w:p>
      <w:pPr>
        <w:pStyle w:val="ListParagraph"/>
        <w:numPr>
          <w:ilvl w:val="0"/>
          <w:numId w:val="2"/>
        </w:numPr>
        <w:spacing w:after="60" w:before="0"/>
      </w:pPr>
      <w:r>
        <w:rPr>
          <w:rFonts w:ascii="Arial" w:cs="Arial" w:eastAsia="Arial" w:hAnsi="Arial"/>
          <w:color w:val="2C2C2C"/>
          <w:sz w:val="20"/>
          <w:szCs w:val="20"/>
        </w:rPr>
        <w:t xml:space="preserve">Comisión por venta: 2–5% del precio de venta en operaciones intermediadas</w:t>
      </w:r>
    </w:p>
    <w:p>
      <w:pPr>
        <w:pStyle w:val="ListParagraph"/>
        <w:numPr>
          <w:ilvl w:val="0"/>
          <w:numId w:val="2"/>
        </w:numPr>
        <w:spacing w:after="60" w:before="0"/>
      </w:pPr>
      <w:r>
        <w:rPr>
          <w:rFonts w:ascii="Arial" w:cs="Arial" w:eastAsia="Arial" w:hAnsi="Arial"/>
          <w:color w:val="2C2C2C"/>
          <w:sz w:val="20"/>
          <w:szCs w:val="20"/>
        </w:rPr>
        <w:t xml:space="preserve">Comisión de financiación: 1–2% del importe financiado</w:t>
      </w:r>
    </w:p>
    <w:p>
      <w:pPr>
        <w:pStyle w:val="ListParagraph"/>
        <w:numPr>
          <w:ilvl w:val="0"/>
          <w:numId w:val="2"/>
        </w:numPr>
        <w:spacing w:after="60" w:before="0"/>
      </w:pPr>
      <w:r>
        <w:rPr>
          <w:rFonts w:ascii="Arial" w:cs="Arial" w:eastAsia="Arial" w:hAnsi="Arial"/>
          <w:color w:val="2C2C2C"/>
          <w:sz w:val="20"/>
          <w:szCs w:val="20"/>
        </w:rPr>
        <w:t xml:space="preserve">Brokeraje de renting: equivalente a 1–3 cuotas por contrato prescrito</w:t>
      </w:r>
    </w:p>
    <w:p>
      <w:pPr>
        <w:spacing w:after="0" w:before="0"/>
      </w:pPr>
      <w:r>
        <w:t xml:space="preserve"/>
      </w:r>
    </w:p>
    <w:p>
      <w:pPr>
        <w:spacing w:after="0" w:before="0"/>
      </w:pPr>
      <w:r>
        <w:t xml:space="preserve"/>
      </w:r>
    </w:p>
    <w:p>
      <w:pPr>
        <w:pStyle w:val="Heading2"/>
        <w:spacing w:after="80" w:before="240"/>
      </w:pPr>
      <w:r>
        <w:rPr>
          <w:rFonts w:ascii="Arial" w:cs="Arial" w:eastAsia="Arial" w:hAnsi="Arial"/>
          <w:b/>
          <w:bCs/>
          <w:color w:val="2E5FA3"/>
          <w:sz w:val="22"/>
          <w:szCs w:val="22"/>
        </w:rPr>
        <w:t xml:space="preserve">2.2 Módulo gestión del activo — SaaS de propiedad inteligente</w:t>
      </w:r>
    </w:p>
    <w:p>
      <w:pPr>
        <w:spacing w:after="80" w:before="0"/>
      </w:pPr>
      <w:r>
        <w:rPr>
          <w:rFonts w:ascii="Arial" w:cs="Arial" w:eastAsia="Arial" w:hAnsi="Arial"/>
          <w:color w:val="2C2C2C"/>
          <w:sz w:val="20"/>
          <w:szCs w:val="20"/>
        </w:rPr>
        <w:t xml:space="preserve">Una cuota mensual que transforma el coste de propiedad disperso y reactivo en un único pago gestionado proactivamente. La plataforma agrega y negocia en nombre del usuario cada servicio, generando ahorro real y datos propietarios sobre el comportamiento del vehículo.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c>
          <w:tcPr>
            <w:tcW w:type="dxa" w:w="9026"/>
            <w:gridSpan w:val="3"/>
            <w:tcBorders>
              <w:top w:val="single" w:color="CCCCCC" w:sz="1"/>
              <w:left w:val="single" w:color="CCCCCC" w:sz="1"/>
              <w:bottom w:val="single" w:color="CCCCCC" w:sz="1"/>
              <w:right w:val="single" w:color="CCCCCC" w:sz="1"/>
            </w:tcBorders>
            <w:shd w:fill="FEF3D7" w:val="clear"/>
            <w:tcMar>
              <w:top w:type="dxa" w:w="100"/>
              <w:left w:type="dxa" w:w="140"/>
              <w:bottom w:type="dxa" w:w="100"/>
              <w:right w:type="dxa" w:w="140"/>
            </w:tcMar>
          </w:tcPr>
          <w:p>
            <w:r>
              <w:rPr>
                <w:rFonts w:ascii="Arial" w:cs="Arial" w:eastAsia="Arial" w:hAnsi="Arial"/>
                <w:b/>
                <w:bCs/>
                <w:color w:val="9C6E00"/>
                <w:sz w:val="22"/>
                <w:szCs w:val="22"/>
              </w:rPr>
              <w:t xml:space="preserve">Gestión del activo</w:t>
            </w:r>
          </w:p>
          <w:p>
            <w:pPr>
              <w:spacing w:after="0" w:before="40"/>
            </w:pPr>
            <w:r>
              <w:rPr>
                <w:rFonts w:ascii="Arial" w:cs="Arial" w:eastAsia="Arial" w:hAnsi="Arial"/>
                <w:color w:val="6B6B6B"/>
                <w:sz w:val="18"/>
                <w:szCs w:val="18"/>
              </w:rPr>
              <w:t xml:space="preserve">SaaS de propiedad inteligente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Cuota base (gestión + alertas)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Suscripción mensual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9C6E00"/>
                <w:sz w:val="19"/>
                <w:szCs w:val="19"/>
              </w:rPr>
              <w:t xml:space="preserve">~30–50 €/mes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Seguro (bróker + comisión)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Negociación y renovación automática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9C6E00"/>
                <w:sz w:val="19"/>
                <w:szCs w:val="19"/>
              </w:rPr>
              <w:t xml:space="preserve">~400 €/año por usuario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Mantenimiento preventivo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Red de talleres negociada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9C6E00"/>
                <w:sz w:val="19"/>
                <w:szCs w:val="19"/>
              </w:rPr>
              <w:t xml:space="preserve">Markup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Mantenimiento correctivo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Gestión de incidencias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9C6E00"/>
                <w:sz w:val="19"/>
                <w:szCs w:val="19"/>
              </w:rPr>
              <w:t xml:space="preserve">Markup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Neumáticos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Compra agregada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9C6E00"/>
                <w:sz w:val="19"/>
                <w:szCs w:val="19"/>
              </w:rPr>
              <w:t xml:space="preserve">Markup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Gestión multas e ITV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Tramitación y alerta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9C6E00"/>
                <w:sz w:val="19"/>
                <w:szCs w:val="19"/>
              </w:rPr>
              <w:t xml:space="preserve">Fee ~10 €/gestión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Movilidad sustitución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Arbitraje con plataformas (ej. Uber)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9C6E00"/>
                <w:sz w:val="19"/>
                <w:szCs w:val="19"/>
              </w:rPr>
              <w:t xml:space="preserve">Arbitraje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Gasolina / recarga eléctrica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Tarjeta de combustible o recarga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9C6E00"/>
                <w:sz w:val="19"/>
                <w:szCs w:val="19"/>
              </w:rPr>
              <w:t xml:space="preserve">Descuento + cashback</w:t>
            </w:r>
          </w:p>
        </w:tc>
      </w:tr>
    </w:tbl>
    <w:p>
      <w:pPr>
        <w:spacing w:after="0" w:before="0"/>
      </w:pPr>
      <w:r>
        <w:t xml:space="preserve"/>
      </w:r>
    </w:p>
    <w:p>
      <w:pPr>
        <w:spacing w:after="80" w:before="0"/>
      </w:pPr>
      <w:r>
        <w:rPr>
          <w:rFonts w:ascii="Arial" w:cs="Arial" w:eastAsia="Arial" w:hAnsi="Arial"/>
          <w:color w:val="2C2C2C"/>
          <w:sz w:val="20"/>
          <w:szCs w:val="20"/>
        </w:rPr>
        <w:t xml:space="preserve">El argumento estratégico del módulo de gestión es doble: genera ingresos recurrentes predecibles (MRR) y acumula datos propietarios sobre el ciclo de vida del vehículo que ningún actor del mercado posee hoy. Esos datos son el activo que alimenta el módulo de venta y el negocio B2B.</w:t>
      </w:r>
    </w:p>
    <w:p>
      <w:pPr>
        <w:spacing w:after="0" w:before="0"/>
      </w:pPr>
      <w:r>
        <w:t xml:space="preserve"/>
      </w:r>
    </w:p>
    <w:p>
      <w:pPr>
        <w:spacing w:after="0" w:before="0"/>
      </w:pPr>
      <w:r>
        <w:t xml:space="preserve"/>
      </w:r>
    </w:p>
    <w:p>
      <w:pPr>
        <w:pStyle w:val="Heading2"/>
        <w:spacing w:after="80" w:before="240"/>
      </w:pPr>
      <w:r>
        <w:rPr>
          <w:rFonts w:ascii="Arial" w:cs="Arial" w:eastAsia="Arial" w:hAnsi="Arial"/>
          <w:b/>
          <w:bCs/>
          <w:color w:val="2E5FA3"/>
          <w:sz w:val="22"/>
          <w:szCs w:val="22"/>
        </w:rPr>
        <w:t xml:space="preserve">2.3 Módulo venta del vehículo — maximización del valor de salida</w:t>
      </w:r>
    </w:p>
    <w:p>
      <w:pPr>
        <w:spacing w:after="80" w:before="0"/>
      </w:pPr>
      <w:r>
        <w:rPr>
          <w:rFonts w:ascii="Arial" w:cs="Arial" w:eastAsia="Arial" w:hAnsi="Arial"/>
          <w:color w:val="2C2C2C"/>
          <w:sz w:val="20"/>
          <w:szCs w:val="20"/>
        </w:rPr>
        <w:t xml:space="preserve">La plataforma llega a la fase de venta con una ventaja que ningún actor del mercado tiene: el historial completo del vehículo gestionado por ella misma. Conoce exactamente el kilometraje, las intervenciones de mantenimiento, el historial de incidencias y el punto de inflexión entre reparar y vender. Esto permite una certificación creíble que genera precios de venta un 5–10% superiores a la media del mercado, lo que justifica la comisión y crea el loop de recompra.</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c>
          <w:tcPr>
            <w:tcW w:type="dxa" w:w="9026"/>
            <w:gridSpan w:val="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E6B3C"/>
                <w:sz w:val="22"/>
                <w:szCs w:val="22"/>
              </w:rPr>
              <w:t xml:space="preserve">Venta del vehículo</w:t>
            </w:r>
          </w:p>
          <w:p>
            <w:pPr>
              <w:spacing w:after="0" w:before="40"/>
            </w:pPr>
            <w:r>
              <w:rPr>
                <w:rFonts w:ascii="Arial" w:cs="Arial" w:eastAsia="Arial" w:hAnsi="Arial"/>
                <w:color w:val="6B6B6B"/>
                <w:sz w:val="18"/>
                <w:szCs w:val="18"/>
              </w:rPr>
              <w:t xml:space="preserve">Maximización del valor de salida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Tasación algorítmica (datos propios)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Gratis — captación y cierre del ciclo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E6B3C"/>
                <w:sz w:val="19"/>
                <w:szCs w:val="19"/>
              </w:rPr>
              <w:t xml:space="preserve">Captación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Certificación del vehículo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Historial completo gestionado en plataforma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E6B3C"/>
                <w:sz w:val="19"/>
                <w:szCs w:val="19"/>
              </w:rPr>
              <w:t xml:space="preserve">150–300 €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Fee asesoramiento venta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Estrategia de precio y canal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E6B3C"/>
                <w:sz w:val="19"/>
                <w:szCs w:val="19"/>
              </w:rPr>
              <w:t xml:space="preserve">200–400 €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Comisión intermediación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Venta a comprador final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E6B3C"/>
                <w:sz w:val="19"/>
                <w:szCs w:val="19"/>
              </w:rPr>
              <w:t xml:space="preserve">3–8% del precio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9"/>
                <w:szCs w:val="19"/>
              </w:rPr>
              <w:t xml:space="preserve">Upsell: nuevo ciclo de compra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9"/>
                <w:szCs w:val="19"/>
              </w:rPr>
              <w:t xml:space="preserve">El vendedor se convierte en comprador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E6B3C"/>
                <w:sz w:val="19"/>
                <w:szCs w:val="19"/>
              </w:rPr>
              <w:t xml:space="preserve">→ módulo compra VO</w:t>
            </w:r>
          </w:p>
        </w:tc>
      </w:tr>
    </w:tbl>
    <w:p>
      <w:pPr>
        <w:spacing w:after="0" w:before="0"/>
      </w:pPr>
      <w:r>
        <w:t xml:space="preserve"/>
      </w:r>
    </w:p>
    <w:p>
      <w:pPr>
        <w:spacing w:after="80" w:before="0"/>
      </w:pPr>
      <w:r>
        <w:rPr>
          <w:rFonts w:ascii="Arial" w:cs="Arial" w:eastAsia="Arial" w:hAnsi="Arial"/>
          <w:color w:val="2C2C2C"/>
          <w:sz w:val="20"/>
          <w:szCs w:val="20"/>
        </w:rPr>
        <w:t xml:space="preserve">El módulo de venta cierra el loop del ciclo de vida y convierte a cada usuario en un comprador recurrente. El historial del vehículo gestionado por la plataforma es el argumento más sólido para convencer al vendedor de usar el canal frente a alternativas (Wallapop, concesionario o particular).</w:t>
      </w:r>
    </w:p>
    <w:p>
      <w:pPr>
        <w:spacing w:after="0" w:before="0"/>
      </w:pPr>
      <w:r>
        <w:t xml:space="preserve"/>
      </w:r>
    </w:p>
    <w:p>
      <w:pPr>
        <w:spacing w:after="0" w:before="0"/>
      </w:pPr>
      <w:r>
        <w:t xml:space="preserve"/>
      </w:r>
    </w:p>
    <w:p>
      <w:pPr>
        <w:pStyle w:val="Heading1"/>
        <w:pBdr>
          <w:bottom w:val="single" w:color="2E5FA3" w:sz="8" w:space="4"/>
        </w:pBdr>
        <w:spacing w:after="120" w:before="320"/>
      </w:pPr>
      <w:r>
        <w:rPr>
          <w:rFonts w:ascii="Arial" w:cs="Arial" w:eastAsia="Arial" w:hAnsi="Arial"/>
          <w:b/>
          <w:bCs/>
          <w:color w:val="1F3864"/>
          <w:sz w:val="26"/>
          <w:szCs w:val="26"/>
        </w:rPr>
        <w:t xml:space="preserve">3. Sizing de mercado — SAM real por línea de negocio</w:t>
      </w:r>
    </w:p>
    <w:p>
      <w:pPr>
        <w:spacing w:after="80" w:before="0"/>
      </w:pPr>
      <w:r>
        <w:rPr>
          <w:rFonts w:ascii="Arial" w:cs="Arial" w:eastAsia="Arial" w:hAnsi="Arial"/>
          <w:color w:val="2C2C2C"/>
          <w:sz w:val="20"/>
          <w:szCs w:val="20"/>
        </w:rPr>
        <w:t xml:space="preserve">El sizing parte de lo que la plataforma puede capturar realmente — la parte del margen intermediario y los servicios, no el precio bruto del vehículo. Esta metodología produce un mercado direccionable más conservador y significativamente más defendible ante un inversor.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Segmento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Pool de mercado total</w:t>
            </w:r>
          </w:p>
        </w:tc>
        <w:tc>
          <w:tcPr>
            <w:tcW w:type="dxa" w:w="26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Parte capturable por la plataforma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SAM estimado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C2C2C"/>
                <w:sz w:val="18"/>
                <w:szCs w:val="18"/>
              </w:rPr>
              <w:t xml:space="preserve">Asesoramiento
compra 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7"/>
                <w:szCs w:val="17"/>
              </w:rPr>
              <w:t xml:space="preserve">2,22M transacciones VO/año
Precio medio transacción ~13.000 €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7"/>
                <w:szCs w:val="17"/>
              </w:rPr>
              <w:t xml:space="preserve">Fee 200–500 €/op. sobre ~800K compradores con dolor activo (tickets &gt;6K€ y &lt;10 años). Lead fee sobre el resto.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5FA3"/>
                <w:sz w:val="20"/>
                <w:szCs w:val="20"/>
              </w:rPr>
              <w:t xml:space="preserve">120–280 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C2C2C"/>
                <w:sz w:val="18"/>
                <w:szCs w:val="18"/>
              </w:rPr>
              <w:t xml:space="preserve">Comisión /
intermediación VO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7"/>
                <w:szCs w:val="17"/>
              </w:rPr>
              <w:t xml:space="preserve">Margen intermediario hoy: 10–20% del precio
→ pool ~2.900–5.800 M€/año</w:t>
            </w:r>
          </w:p>
        </w:tc>
        <w:tc>
          <w:tcPr>
            <w:tcW w:type="dxa" w:w="2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2C2C2C"/>
                <w:sz w:val="17"/>
                <w:szCs w:val="17"/>
              </w:rPr>
              <w:t xml:space="preserve">La plataforma captura 2–5% del precio en operaciones donde media la venta (10–15% del volumen = ~220–330K unidades/año)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E5FA3"/>
                <w:sz w:val="20"/>
                <w:szCs w:val="20"/>
              </w:rPr>
              <w:t xml:space="preserve">140–230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C2C2C"/>
                <w:sz w:val="18"/>
                <w:szCs w:val="18"/>
              </w:rPr>
              <w:t xml:space="preserve">Gestión activo
· cuota SaaS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7"/>
                <w:szCs w:val="17"/>
              </w:rPr>
              <w:t xml:space="preserve">34,7M vehículos en circulación
Gasto mantenimiento ~1.100–1.500 €/veh./año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7"/>
                <w:szCs w:val="17"/>
              </w:rPr>
              <w:t xml:space="preserve">Cuota gestión ~35 €/mes. Con 300K suscriptores (0,9% del parque): 126 M€/año. Con 600K (1,8%): 252 M€/año.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5FA3"/>
                <w:sz w:val="20"/>
                <w:szCs w:val="20"/>
              </w:rPr>
              <w:t xml:space="preserve">126–252 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C2C2C"/>
                <w:sz w:val="18"/>
                <w:szCs w:val="18"/>
              </w:rPr>
              <w:t xml:space="preserve">Seguro
(bróker)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7"/>
                <w:szCs w:val="17"/>
              </w:rPr>
              <w:t xml:space="preserve">Mercado seguros auto: ~14.500 M€/año (2025)
Comisión mediador: 8–12%</w:t>
            </w:r>
          </w:p>
        </w:tc>
        <w:tc>
          <w:tcPr>
            <w:tcW w:type="dxa" w:w="2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2C2C2C"/>
                <w:sz w:val="17"/>
                <w:szCs w:val="17"/>
              </w:rPr>
              <w:t xml:space="preserve">Sobre 600K usuarios activos y prima media ~420 €: volumen gestionado ~252 M€. Comisión plataforma ~10%.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E5FA3"/>
                <w:sz w:val="20"/>
                <w:szCs w:val="20"/>
              </w:rPr>
              <w:t xml:space="preserve">~25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C2C2C"/>
                <w:sz w:val="18"/>
                <w:szCs w:val="18"/>
              </w:rPr>
              <w:t xml:space="preserve">Mantenimiento
(markup)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7"/>
                <w:szCs w:val="17"/>
              </w:rPr>
              <w:t xml:space="preserve">Gasto mantenimiento turismos España:
~6.000–8.000 M€/año estimado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7"/>
                <w:szCs w:val="17"/>
              </w:rPr>
              <w:t xml:space="preserve">600K usuarios × ~600 €/año en mantenimiento gestionado = 360 M€ gestionados. Markup 12–15%.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5FA3"/>
                <w:sz w:val="20"/>
                <w:szCs w:val="20"/>
              </w:rPr>
              <w:t xml:space="preserve">43–54 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C2C2C"/>
                <w:sz w:val="18"/>
                <w:szCs w:val="18"/>
              </w:rPr>
              <w:t xml:space="preserve">Venta /
certificación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7"/>
                <w:szCs w:val="17"/>
              </w:rPr>
              <w:t xml:space="preserve">~400–600K vendedores particulares/año
Intermediarios cobran 10–20% hoy</w:t>
            </w:r>
          </w:p>
        </w:tc>
        <w:tc>
          <w:tcPr>
            <w:tcW w:type="dxa" w:w="2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2C2C2C"/>
                <w:sz w:val="17"/>
                <w:szCs w:val="17"/>
              </w:rPr>
              <w:t xml:space="preserve">Fee asesoramiento + certificación (200–600 €/op.) sobre usuarios de la plataforma. Estimado 30–40% de usuarios activos/año.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E5FA3"/>
                <w:sz w:val="20"/>
                <w:szCs w:val="20"/>
              </w:rPr>
              <w:t xml:space="preserve">36–60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C2C2C"/>
                <w:sz w:val="18"/>
                <w:szCs w:val="18"/>
              </w:rPr>
              <w:t xml:space="preserve">Renting
(broker + prescripción)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6B6B6B"/>
                <w:sz w:val="17"/>
                <w:szCs w:val="17"/>
              </w:rPr>
              <w:t xml:space="preserve">351K matriculaciones renting 2025
Facturación sector: 9.512 M€</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C2C2C"/>
                <w:sz w:val="17"/>
                <w:szCs w:val="17"/>
              </w:rPr>
              <w:t xml:space="preserve">Fee equivalente a 1–3 cuotas por contrato sobre contratos prescritos. Objetivo: 15–25K contratos/año desde base de usuarios.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5FA3"/>
                <w:sz w:val="20"/>
                <w:szCs w:val="20"/>
              </w:rPr>
              <w:t xml:space="preserve">25–45 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C2C2C"/>
                <w:sz w:val="18"/>
                <w:szCs w:val="18"/>
              </w:rPr>
              <w:t xml:space="preserve">Datos / B2B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6B6B6B"/>
                <w:sz w:val="17"/>
                <w:szCs w:val="17"/>
              </w:rPr>
              <w:t xml:space="preserve">Fabricantes, aseguradoras y bancos necesitan datos de comportamiento de flota y decisión de compra a escala</w:t>
            </w:r>
          </w:p>
        </w:tc>
        <w:tc>
          <w:tcPr>
            <w:tcW w:type="dxa" w:w="2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2C2C2C"/>
                <w:sz w:val="17"/>
                <w:szCs w:val="17"/>
              </w:rPr>
              <w:t xml:space="preserve">Datasets propietarios de TCO real, scoring y ciclos de recompra. Contratos B2B. Escalable sin coste marginal.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2E5FA3"/>
                <w:sz w:val="20"/>
                <w:szCs w:val="20"/>
              </w:rPr>
              <w:t xml:space="preserve">15–40 M€</w:t>
            </w:r>
          </w:p>
        </w:tc>
      </w:tr>
      <w:tr>
        <w:tc>
          <w:tcPr>
            <w:tcW w:type="dxa" w:w="7026"/>
            <w:gridSpan w:val="3"/>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19"/>
                <w:szCs w:val="19"/>
              </w:rPr>
              <w:t xml:space="preserve">SAM total España · con 600K usuarios activos en régimen estacionario</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530–960 M€/año</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6B6B6B"/>
                <w:sz w:val="17"/>
                <w:szCs w:val="17"/>
              </w:rPr>
              <w:t xml:space="preserve">Fuente VO</w:t>
            </w:r>
          </w:p>
          <w:p>
            <w:pPr>
              <w:spacing w:after="0" w:before="40"/>
            </w:pPr>
            <w:r>
              <w:rPr>
                <w:rFonts w:ascii="Arial" w:cs="Arial" w:eastAsia="Arial" w:hAnsi="Arial"/>
                <w:color w:val="2C2C2C"/>
                <w:sz w:val="16"/>
                <w:szCs w:val="16"/>
              </w:rPr>
              <w:t xml:space="preserve">GANVAM / Faconauto 2025 · 2,22M unidades · precio transacción ~13.025 €</w:t>
            </w:r>
          </w:p>
        </w:tc>
        <w:tc>
          <w:tcPr>
            <w:tcW w:type="dxa" w:w="3009"/>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6B6B6B"/>
                <w:sz w:val="17"/>
                <w:szCs w:val="17"/>
              </w:rPr>
              <w:t xml:space="preserve">Fuente seguros</w:t>
            </w:r>
          </w:p>
          <w:p>
            <w:pPr>
              <w:spacing w:after="0" w:before="40"/>
            </w:pPr>
            <w:r>
              <w:rPr>
                <w:rFonts w:ascii="Arial" w:cs="Arial" w:eastAsia="Arial" w:hAnsi="Arial"/>
                <w:color w:val="2C2C2C"/>
                <w:sz w:val="16"/>
                <w:szCs w:val="16"/>
              </w:rPr>
              <w:t xml:space="preserve">UNESPA H1 2025 · automóviles +8,94% · 14.554 M€ estimado año completo</w:t>
            </w:r>
          </w:p>
        </w:tc>
        <w:tc>
          <w:tcPr>
            <w:tcW w:type="dxa" w:w="3009"/>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6B6B6B"/>
                <w:sz w:val="17"/>
                <w:szCs w:val="17"/>
              </w:rPr>
              <w:t xml:space="preserve">Fuente renting</w:t>
            </w:r>
          </w:p>
          <w:p>
            <w:pPr>
              <w:spacing w:after="0" w:before="40"/>
            </w:pPr>
            <w:r>
              <w:rPr>
                <w:rFonts w:ascii="Arial" w:cs="Arial" w:eastAsia="Arial" w:hAnsi="Arial"/>
                <w:color w:val="2C2C2C"/>
                <w:sz w:val="16"/>
                <w:szCs w:val="16"/>
              </w:rPr>
              <w:t xml:space="preserve">AER 2025 · 351K matriculaciones · facturación 9.512 M€ · 1M unidades en parque</w:t>
            </w:r>
          </w:p>
        </w:tc>
      </w:tr>
    </w:tbl>
    <w:p>
      <w:pPr>
        <w:spacing w:after="0" w:before="0"/>
      </w:pPr>
      <w:r>
        <w:t xml:space="preserve"/>
      </w:r>
    </w:p>
    <w:p>
      <w:pPr>
        <w:spacing w:after="0" w:before="0"/>
      </w:pPr>
      <w:r>
        <w:t xml:space="preserve"/>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8800"/>
      </w:tabs>
      <w:spacing w:after="120" w:before="0"/>
    </w:pPr>
    <w:r>
      <w:rPr>
        <w:rFonts w:ascii="Arial" w:cs="Arial" w:eastAsia="Arial" w:hAnsi="Arial"/>
        <w:b/>
        <w:bCs/>
        <w:color w:val="6B6B6B"/>
        <w:spacing w:val="20"/>
        <w:sz w:val="16"/>
        <w:szCs w:val="16"/>
      </w:rPr>
      <w:t xml:space="preserve">CONFIDENCIAL · MOBILITY PLATFORM</w:t>
    </w:r>
    <w:r>
      <w:rPr>
        <w:rFonts w:ascii="Arial" w:cs="Arial" w:eastAsia="Arial" w:hAnsi="Arial"/>
        <w:sz w:val="16"/>
        <w:szCs w:val="16"/>
      </w:rPr>
      <w:t xml:space="preserve">	</w:t>
    </w:r>
    <w:r>
      <w:rPr>
        <w:rFonts w:ascii="Arial" w:cs="Arial" w:eastAsia="Arial" w:hAnsi="Arial"/>
        <w:color w:val="6B6B6B"/>
        <w:sz w:val="16"/>
        <w:szCs w:val="16"/>
      </w:rPr>
      <w:t xml:space="preserve">Análisis para Inversor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4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2026-04-17T14:00:11.712Z</dcterms:created>
  <dcterms:modified xsi:type="dcterms:W3CDTF">2026-04-17T14:00:11.712Z</dcterms:modified>
</cp:coreProperties>
</file>

<file path=docProps/custom.xml><?xml version="1.0" encoding="utf-8"?>
<Properties xmlns="http://schemas.openxmlformats.org/officeDocument/2006/custom-properties" xmlns:vt="http://schemas.openxmlformats.org/officeDocument/2006/docPropsVTypes"/>
</file>