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spacing w:after="220" w:line="288" w:lineRule="auto"/>
        <w:rPr>
          <w:rFonts w:ascii="Calibri" w:eastAsia="Calibri" w:hAnsi="Calibri" w:cs="Calibri"/>
          <w:color w:val="17365D"/>
          <w:sz w:val="39"/>
          <w:szCs w:val="39"/>
        </w:rPr>
      </w:pPr>
      <w:r w:rsidRPr="00000000">
        <w:rPr>
          <w:rFonts w:ascii="Calibri" w:eastAsia="Calibri" w:hAnsi="Calibri" w:cs="Calibri"/>
          <w:color w:val="17365D"/>
          <w:sz w:val="39"/>
          <w:szCs w:val="39"/>
          <w:rtl w:val="0"/>
        </w:rPr>
        <w:t>Dr. Vipin Dev</w:t>
      </w:r>
    </w:p>
    <w:p w:rsidR="00000000" w:rsidRPr="00000000" w:rsidP="00000000" w14:paraId="00000002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Nephrologist (MBBS, MD, DNB, DM Nephrology)</w:t>
        <w:br/>
        <w:t>New Delhi, India</w:t>
      </w:r>
    </w:p>
    <w:p w:rsidR="00000000" w:rsidRPr="00000000" w:rsidP="00000000" w14:paraId="00000003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📱 9599604624/9868871139 | ✉️ dr.vipindev@gmail.com</w:t>
      </w:r>
    </w:p>
    <w:p w:rsidR="00000000" w:rsidRPr="00000000" w:rsidP="00000000" w14:paraId="00000004">
      <w:pPr>
        <w:spacing w:before="360" w:after="0" w:line="331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color w:val="365F91"/>
          <w:sz w:val="32"/>
          <w:szCs w:val="32"/>
          <w:rtl w:val="0"/>
        </w:rPr>
        <w:t>Professional Highlights</w:t>
      </w:r>
    </w:p>
    <w:p w:rsidR="00000000" w:rsidRPr="00000000" w:rsidP="00000000" w14:paraId="00000005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10 years of progressive clinical experience with 3 years across nephrology, transplant, dialysis, and ICU.</w:t>
      </w:r>
    </w:p>
    <w:p w:rsidR="00000000" w:rsidRPr="00000000" w:rsidP="00000000" w14:paraId="00000006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Advanced interventional nephrology exposure: biopsy, TDC insertion/exchange, PD catheter, AVF Doppler, AVF thrombolysis.</w:t>
      </w:r>
    </w:p>
    <w:p w:rsidR="00000000" w:rsidRPr="00000000" w:rsidP="00000000" w14:paraId="00000007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Strong kidney transplant exposure including peri-operative management of LRRT and DDRT recipients.</w:t>
      </w:r>
    </w:p>
    <w:p w:rsidR="00000000" w:rsidRPr="00000000" w:rsidP="00000000" w14:paraId="00000008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Award-winning presenter with strong academic and clinical teaching background.</w:t>
      </w:r>
    </w:p>
    <w:p w:rsidR="00000000" w:rsidRPr="00000000" w:rsidP="00000000" w14:paraId="00000009">
      <w:pPr>
        <w:spacing w:before="360" w:after="0" w:line="331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color w:val="365F91"/>
          <w:sz w:val="32"/>
          <w:szCs w:val="32"/>
          <w:rtl w:val="0"/>
        </w:rPr>
        <w:t>Professional Summary</w:t>
      </w:r>
    </w:p>
    <w:p w:rsidR="00000000" w:rsidRPr="00000000" w:rsidP="00000000" w14:paraId="0000000A">
      <w:pPr>
        <w:spacing w:before="360" w:after="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Nephrologist trained at MAMC, LHMC and RML with expertise in clinical nephrology, transplant services, dialysis access management, and critical care nephrology. Skilled in ultrasound-guided and C-arm–guided interventions, protocol-driven care, and multidisciplinary coordination. Strong academic portfolio with international publications and conference presentations.</w:t>
      </w:r>
    </w:p>
    <w:p w:rsidR="00000000" w:rsidRPr="00000000" w:rsidP="00000000" w14:paraId="0000000B">
      <w:pPr>
        <w:spacing w:before="360" w:after="0" w:line="331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color w:val="365F91"/>
          <w:sz w:val="32"/>
          <w:szCs w:val="32"/>
          <w:rtl w:val="0"/>
        </w:rPr>
        <w:t xml:space="preserve">Professional Experience </w:t>
      </w:r>
    </w:p>
    <w:p w:rsidR="00000000" w:rsidRPr="00000000" w:rsidP="00000000" w14:paraId="0000000C">
      <w:pPr>
        <w:spacing w:before="160" w:after="0" w:line="331" w:lineRule="auto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00000000">
        <w:rPr>
          <w:rFonts w:ascii="Calibri" w:eastAsia="Calibri" w:hAnsi="Calibri" w:cs="Calibri"/>
          <w:b/>
          <w:bCs/>
          <w:color w:val="4F81BD"/>
          <w:sz w:val="30"/>
          <w:szCs w:val="30"/>
          <w:rtl w:val="0"/>
        </w:rPr>
        <w:t>Senior Resident – DM Nephrology</w:t>
      </w:r>
    </w:p>
    <w:p w:rsidR="00000000" w:rsidRPr="00000000" w:rsidP="00000000" w14:paraId="0000000D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ABVIMS &amp; Dr. Ram Manohar Lohia Hospital, New Delhi (2023-2026)</w:t>
      </w:r>
    </w:p>
    <w:p w:rsidR="00000000" w:rsidRPr="00000000" w:rsidP="00000000" w14:paraId="0000000E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Management of AKI, CKD, GN, ESKD, transplant recipients in OPD, wards, and ICU.</w:t>
      </w:r>
    </w:p>
    <w:p w:rsidR="00000000" w:rsidRPr="00000000" w:rsidP="00000000" w14:paraId="0000000F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Dialysis services: HD, SLED, CRRT, PD.</w:t>
      </w:r>
    </w:p>
    <w:p w:rsidR="00000000" w:rsidRPr="00000000" w:rsidP="00000000" w14:paraId="00000010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Peri-operative care for live-related and deceased donor kidney transplants.</w:t>
      </w:r>
    </w:p>
    <w:p w:rsidR="00000000" w:rsidRPr="00000000" w:rsidP="00000000" w14:paraId="00000011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Interventional Procedures:</w:t>
      </w:r>
    </w:p>
    <w:p w:rsidR="00000000" w:rsidRPr="00000000" w:rsidP="00000000" w14:paraId="00000012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 xml:space="preserve">    – Renal biopsy</w:t>
      </w:r>
    </w:p>
    <w:p w:rsidR="00000000" w:rsidRPr="00000000" w:rsidP="00000000" w14:paraId="00000013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 xml:space="preserve">    – Temporary and tunneled dialysis catheter insertion</w:t>
      </w:r>
    </w:p>
    <w:p w:rsidR="00000000" w:rsidRPr="00000000" w:rsidP="00000000" w14:paraId="00000014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 xml:space="preserve">    – Guidewire exchange of tunneled catheters</w:t>
      </w:r>
    </w:p>
    <w:p w:rsidR="00000000" w:rsidRPr="00000000" w:rsidP="00000000" w14:paraId="00000015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 xml:space="preserve">    – External jugular tunneled catheter insertion</w:t>
      </w:r>
    </w:p>
    <w:p w:rsidR="00000000" w:rsidRPr="00000000" w:rsidP="00000000" w14:paraId="00000016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 xml:space="preserve">    – Peritoneal dialysis catheter insertion</w:t>
      </w:r>
    </w:p>
    <w:p w:rsidR="00000000" w:rsidRPr="00000000" w:rsidP="00000000" w14:paraId="00000017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 xml:space="preserve">    – AVF Doppler &amp; access surveillance</w:t>
      </w:r>
    </w:p>
    <w:p w:rsidR="00000000" w:rsidRPr="00000000" w:rsidP="00000000" w14:paraId="00000018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 xml:space="preserve">    – Catheter-directed AVF thrombolysis</w:t>
      </w:r>
    </w:p>
    <w:p w:rsidR="00000000" w:rsidRPr="00000000" w:rsidP="00000000" w14:paraId="00000019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 xml:space="preserve">    – USG and C-arm guided procedures</w:t>
      </w:r>
    </w:p>
    <w:p w:rsidR="00000000" w:rsidRPr="00000000" w:rsidP="00000000" w14:paraId="0000001A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 xml:space="preserve">    – POCUS (kidney, lung, IVC, vascular)</w:t>
      </w:r>
    </w:p>
    <w:p w:rsidR="00000000" w:rsidRPr="00000000" w:rsidP="00000000" w14:paraId="0000001B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Dialysis unit supervision, quality improvement, and teaching of residents &amp; technicians.</w:t>
      </w:r>
    </w:p>
    <w:p w:rsidR="00000000" w:rsidRPr="00000000" w:rsidP="00000000" w14:paraId="0000001C">
      <w:pPr>
        <w:spacing w:before="160" w:after="0" w:line="331" w:lineRule="auto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00000000">
        <w:rPr>
          <w:rFonts w:ascii="Calibri" w:eastAsia="Calibri" w:hAnsi="Calibri" w:cs="Calibri"/>
          <w:b/>
          <w:bCs/>
          <w:color w:val="4F81BD"/>
          <w:sz w:val="30"/>
          <w:szCs w:val="30"/>
          <w:rtl w:val="0"/>
        </w:rPr>
        <w:t>Senior Resident – Internal Medicine</w:t>
      </w:r>
    </w:p>
    <w:p w:rsidR="00000000" w:rsidRPr="00000000" w:rsidP="00000000" w14:paraId="0000001D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Lady Hardinge Medical College, New Delhi (2022 – 2 months)</w:t>
      </w:r>
    </w:p>
    <w:p w:rsidR="00000000" w:rsidRPr="00000000" w:rsidP="00000000" w14:paraId="0000001E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Managed ward, emergency, HDU/ICU patients and supervised junior residents.</w:t>
      </w:r>
    </w:p>
    <w:p w:rsidR="00000000" w:rsidRPr="00000000" w:rsidP="00000000" w14:paraId="0000001F">
      <w:pPr>
        <w:spacing w:before="160" w:after="0" w:line="331" w:lineRule="auto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00000000">
        <w:rPr>
          <w:rFonts w:ascii="Calibri" w:eastAsia="Calibri" w:hAnsi="Calibri" w:cs="Calibri"/>
          <w:b/>
          <w:bCs/>
          <w:color w:val="4F81BD"/>
          <w:sz w:val="30"/>
          <w:szCs w:val="30"/>
          <w:rtl w:val="0"/>
        </w:rPr>
        <w:t>Junior Resident – Internal Medicine (MD Training)</w:t>
      </w:r>
    </w:p>
    <w:p w:rsidR="00000000" w:rsidRPr="00000000" w:rsidP="00000000" w14:paraId="00000020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Lady Hardinge Medical College, New Delhi (2019 – 2022)</w:t>
      </w:r>
    </w:p>
    <w:p w:rsidR="00000000" w:rsidRPr="00000000" w:rsidP="00000000" w14:paraId="00000021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Rotations in ICU, ward, emergency; strong exposure to ventilator management, shock, electrolyte disorders, and POCUS.</w:t>
      </w:r>
    </w:p>
    <w:p w:rsidR="00000000" w:rsidRPr="00000000" w:rsidP="00000000" w14:paraId="00000022">
      <w:pPr>
        <w:spacing w:before="360" w:after="0" w:line="331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color w:val="365F91"/>
          <w:sz w:val="32"/>
          <w:szCs w:val="32"/>
          <w:rtl w:val="0"/>
        </w:rPr>
        <w:t>Education (Reverse Chronological)</w:t>
      </w:r>
    </w:p>
    <w:p w:rsidR="00000000" w:rsidRPr="00000000" w:rsidP="00000000" w14:paraId="00000023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DM Nephrology (BATCH- 22-25) – ABVIMS &amp; Dr. RML Hospital, New Delhi</w:t>
      </w:r>
    </w:p>
    <w:p w:rsidR="00000000" w:rsidRPr="00000000" w:rsidP="00000000" w14:paraId="00000024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 xml:space="preserve"> Thesis: Correlation of Venous Neointimal Hyperplasia and Medial Fibrosis With Non-Maturation of AV Fistula (Under review)</w:t>
      </w:r>
    </w:p>
    <w:p w:rsidR="00000000" w:rsidRPr="00000000" w:rsidP="00000000" w14:paraId="00000025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DNB General Medicine (2023) – National Board of Examinations</w:t>
      </w:r>
    </w:p>
    <w:p w:rsidR="00000000" w:rsidRPr="00000000" w:rsidP="00000000" w14:paraId="00000026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MD General Medicine (2019–2022) – LHMC, New Delhi</w:t>
      </w:r>
    </w:p>
    <w:p w:rsidR="00000000" w:rsidRPr="00000000" w:rsidP="00000000" w14:paraId="00000027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 xml:space="preserve"> Thesis: Extended Lipid Profile in Patients with Different Sub-Groups of Pancreatitis</w:t>
      </w:r>
    </w:p>
    <w:p w:rsidR="00000000" w:rsidRPr="00000000" w:rsidP="00000000" w14:paraId="00000028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MBBS (2010–2015) – Maulana Azad Medical College, New Delhi</w:t>
      </w:r>
    </w:p>
    <w:p w:rsidR="00000000" w:rsidRPr="00000000" w:rsidP="00000000" w14:paraId="00000029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SCHOOL- SAHODAY SCHOOL, SDA (HAUZ KHAS), DELHI (2009-CBSE)</w:t>
      </w:r>
    </w:p>
    <w:p w:rsidR="00000000" w:rsidRPr="00000000" w:rsidP="00000000" w14:paraId="0000002A">
      <w:pPr>
        <w:spacing w:before="360" w:after="0" w:line="331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color w:val="365F91"/>
          <w:sz w:val="32"/>
          <w:szCs w:val="32"/>
          <w:rtl w:val="0"/>
        </w:rPr>
        <w:t>Key Clinical Competencies</w:t>
      </w:r>
    </w:p>
    <w:p w:rsidR="00000000" w:rsidRPr="00000000" w:rsidP="00000000" w14:paraId="0000002B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Interventional nephrology: biopsy, TDC insertion/exchange, EJV TDC, PD catheter, AVF Doppler, AVF thrombolysis.</w:t>
      </w:r>
    </w:p>
    <w:p w:rsidR="00000000" w:rsidRPr="00000000" w:rsidP="00000000" w14:paraId="0000002C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Clinical nephrology: AKI–CKD–ESKD, GN, transplant, complex hypertension, electrolyte disorders.</w:t>
      </w:r>
    </w:p>
    <w:p w:rsidR="00000000" w:rsidRPr="00000000" w:rsidP="00000000" w14:paraId="0000002D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Dialysis: HD, SLED, CRRT; adequacy, troubleshooting, QI.</w:t>
      </w:r>
    </w:p>
    <w:p w:rsidR="00000000" w:rsidRPr="00000000" w:rsidP="00000000" w14:paraId="0000002E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POCUS: renal, lung, IVC, vascular scans; guided lines; volume assessment.</w:t>
      </w:r>
    </w:p>
    <w:p w:rsidR="00000000" w:rsidRPr="00000000" w:rsidP="00000000" w14:paraId="0000002F">
      <w:pPr>
        <w:spacing w:before="360" w:after="0" w:line="331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color w:val="365F91"/>
          <w:sz w:val="32"/>
          <w:szCs w:val="32"/>
          <w:rtl w:val="0"/>
        </w:rPr>
        <w:t>Research &amp; Publications</w:t>
      </w:r>
    </w:p>
    <w:p w:rsidR="00000000" w:rsidRPr="00000000" w:rsidP="00000000" w14:paraId="00000030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Peer-Reviewed Publications:</w:t>
      </w:r>
    </w:p>
    <w:p w:rsidR="00000000" w:rsidRPr="00000000" w:rsidP="00000000" w14:paraId="00000031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RCT-  Tunneled catheter lock solutions(Author)(CKJ)2026</w:t>
      </w:r>
    </w:p>
    <w:p w:rsidR="00000000" w:rsidRPr="00000000" w:rsidP="00000000" w14:paraId="00000032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Successful Long-Term Management of Lupus Nephritis with Disseminated Renal &amp; GI Cryptococcosis — WCN 2025, KI Reports (Dev, Vipin et al.)</w:t>
      </w:r>
    </w:p>
    <w:p w:rsidR="00000000" w:rsidRPr="00000000" w:rsidP="00000000" w14:paraId="00000033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Crimson Clues: Gross Hematuria as a Manifestation of PNH — WCN 2025, KI Reports (Co-author)</w:t>
      </w:r>
    </w:p>
    <w:p w:rsidR="00000000" w:rsidRPr="00000000" w:rsidP="00000000" w14:paraId="00000034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Manuscripts Under Review:</w:t>
      </w:r>
    </w:p>
    <w:p w:rsidR="00000000" w:rsidRPr="00000000" w:rsidP="00000000" w14:paraId="00000035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Sarcopenia in CKD 5D and CKD 5 ND</w:t>
      </w:r>
    </w:p>
    <w:p w:rsidR="00000000" w:rsidRPr="00000000" w:rsidP="00000000" w14:paraId="00000036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Effect of Low protein diet on GFR and Renal reserve function assessment</w:t>
      </w:r>
    </w:p>
    <w:p w:rsidR="00000000" w:rsidRPr="00000000" w:rsidP="00000000" w14:paraId="00000037">
      <w:pPr>
        <w:spacing w:before="360" w:after="0" w:line="331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color w:val="365F91"/>
          <w:sz w:val="32"/>
          <w:szCs w:val="32"/>
          <w:rtl w:val="0"/>
        </w:rPr>
        <w:t>Conferences &amp; Academic Participation</w:t>
      </w:r>
    </w:p>
    <w:p w:rsidR="00000000" w:rsidRPr="00000000" w:rsidP="00000000" w14:paraId="00000038">
      <w:pPr>
        <w:spacing w:before="360" w:after="0" w:line="331" w:lineRule="auto"/>
        <w:rPr>
          <w:rFonts w:ascii="Calibri" w:eastAsia="Calibri" w:hAnsi="Calibri" w:cs="Calibri"/>
          <w:sz w:val="32"/>
          <w:szCs w:val="32"/>
        </w:rPr>
      </w:pPr>
      <w:r w:rsidRPr="00000000">
        <w:rPr>
          <w:rFonts w:ascii="Calibri" w:eastAsia="Calibri" w:hAnsi="Calibri" w:cs="Calibri"/>
          <w:sz w:val="32"/>
          <w:szCs w:val="32"/>
          <w:rtl w:val="0"/>
        </w:rPr>
        <w:t xml:space="preserve">ISN 2026- Oral Paper Presentation </w:t>
      </w:r>
    </w:p>
    <w:p w:rsidR="00000000" w:rsidRPr="00000000" w:rsidP="00000000" w14:paraId="00000039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WCN – World Congress of Nephrology (2025)</w:t>
      </w:r>
    </w:p>
    <w:p w:rsidR="00000000" w:rsidRPr="00000000" w:rsidP="00000000" w14:paraId="0000003A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ANS – American Nephrology Society (2025)</w:t>
      </w:r>
    </w:p>
    <w:p w:rsidR="00000000" w:rsidRPr="00000000" w:rsidP="00000000" w14:paraId="0000003B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AVATAR India (2025)</w:t>
      </w:r>
    </w:p>
    <w:p w:rsidR="00000000" w:rsidRPr="00000000" w:rsidP="00000000" w14:paraId="0000003C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DNS Conference, AIIMS Delhi (2024)</w:t>
      </w:r>
    </w:p>
    <w:p w:rsidR="00000000" w:rsidRPr="00000000" w:rsidP="00000000" w14:paraId="0000003D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Fortis Infectious Diseases–Nephrology Conference (2024)</w:t>
      </w:r>
    </w:p>
    <w:p w:rsidR="00000000" w:rsidRPr="00000000" w:rsidP="00000000" w14:paraId="0000003E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Transplant Update, Delhi (2023)</w:t>
      </w:r>
    </w:p>
    <w:p w:rsidR="00000000" w:rsidRPr="00000000" w:rsidP="00000000" w14:paraId="0000003F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ISPD International Conference, Delhi (2023)</w:t>
      </w:r>
    </w:p>
    <w:p w:rsidR="00000000" w:rsidRPr="00000000" w:rsidP="00000000" w14:paraId="00000040">
      <w:pPr>
        <w:spacing w:before="360" w:after="0" w:line="331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color w:val="365F91"/>
          <w:sz w:val="32"/>
          <w:szCs w:val="32"/>
          <w:rtl w:val="0"/>
        </w:rPr>
        <w:t>Awards</w:t>
      </w:r>
    </w:p>
    <w:p w:rsidR="00000000" w:rsidRPr="00000000" w:rsidP="00000000" w14:paraId="00000041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1st Prize – Best Case Presentation, Fortis Infectious Disease Nephrology Conference (2024)</w:t>
      </w:r>
    </w:p>
    <w:p w:rsidR="00000000" w:rsidRPr="00000000" w:rsidP="00000000" w14:paraId="00000042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3rd Prize – Infectious Disease Nephrology Quiz, Fortis (2024)</w:t>
      </w:r>
    </w:p>
    <w:p w:rsidR="00000000" w:rsidRPr="00000000" w:rsidP="00000000" w14:paraId="00000043">
      <w:pPr>
        <w:spacing w:before="360" w:after="0" w:line="331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color w:val="365F91"/>
          <w:sz w:val="32"/>
          <w:szCs w:val="32"/>
          <w:rtl w:val="0"/>
        </w:rPr>
        <w:t>Certifications</w:t>
      </w:r>
    </w:p>
    <w:p w:rsidR="00000000" w:rsidRPr="00000000" w:rsidP="00000000" w14:paraId="00000044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BLS Certification – 2025</w:t>
      </w:r>
    </w:p>
    <w:p w:rsidR="00000000" w:rsidRPr="00000000" w:rsidP="00000000" w14:paraId="00000045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Biostatistics Course – NPTEL, 2022</w:t>
      </w:r>
    </w:p>
    <w:p w:rsidR="00000000" w:rsidRPr="00000000" w:rsidP="00000000" w14:paraId="00000046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Certified Lipidologist – Lipid Association of India, 2019</w:t>
      </w:r>
    </w:p>
    <w:p w:rsidR="00000000" w:rsidRPr="00000000" w:rsidP="00000000" w14:paraId="00000047">
      <w:pPr>
        <w:spacing w:before="360" w:after="0" w:line="331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color w:val="365F91"/>
          <w:sz w:val="32"/>
          <w:szCs w:val="32"/>
          <w:rtl w:val="0"/>
        </w:rPr>
        <w:t>Teaching &amp; Academic Roles</w:t>
      </w:r>
    </w:p>
    <w:p w:rsidR="00000000" w:rsidRPr="00000000" w:rsidP="00000000" w14:paraId="00000048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Bedside clinical teaching for MD and MBBS trainees</w:t>
      </w:r>
    </w:p>
    <w:p w:rsidR="00000000" w:rsidRPr="00000000" w:rsidP="00000000" w14:paraId="00000049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Conducted seminars and journal clubs</w:t>
      </w:r>
    </w:p>
    <w:p w:rsidR="00000000" w:rsidRPr="00000000" w:rsidP="00000000" w14:paraId="0000004A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Training dialysis nurses &amp; technicians</w:t>
      </w:r>
    </w:p>
    <w:p w:rsidR="00000000" w:rsidRPr="00000000" w:rsidP="00000000" w14:paraId="0000004B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Case-based nephrology teaching (OPD &amp; IPD)</w:t>
      </w:r>
    </w:p>
    <w:p w:rsidR="00000000" w:rsidRPr="00000000" w:rsidP="00000000" w14:paraId="0000004C">
      <w:pPr>
        <w:spacing w:before="360" w:after="0" w:line="331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color w:val="365F91"/>
          <w:sz w:val="32"/>
          <w:szCs w:val="32"/>
          <w:rtl w:val="0"/>
        </w:rPr>
        <w:t>Hospital IT &amp; EMR Skills</w:t>
      </w:r>
    </w:p>
    <w:p w:rsidR="00000000" w:rsidRPr="00000000" w:rsidP="00000000" w14:paraId="0000004D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• Experience with hospital EMR systems and dialysis software</w:t>
      </w:r>
    </w:p>
    <w:p w:rsidR="00000000" w:rsidRPr="00000000" w:rsidP="00000000" w14:paraId="0000004E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 xml:space="preserve">• Proficient with MS Excel and Statistics </w:t>
      </w:r>
    </w:p>
    <w:p w:rsidR="00000000" w:rsidRPr="00000000" w:rsidP="00000000" w14:paraId="0000004F">
      <w:pPr>
        <w:spacing w:before="360" w:after="0" w:line="331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color w:val="365F91"/>
          <w:sz w:val="32"/>
          <w:szCs w:val="32"/>
          <w:rtl w:val="0"/>
        </w:rPr>
        <w:t>Professional Interests</w:t>
      </w:r>
    </w:p>
    <w:p w:rsidR="00000000" w:rsidRPr="00000000" w:rsidP="00000000" w14:paraId="00000050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Interventional Nephrology • Transplant Nephrology • Dialysis Access • Critical Care Nephrology • GN &amp; Immunology</w:t>
      </w:r>
    </w:p>
    <w:p w:rsidR="00000000" w:rsidRPr="00000000" w:rsidP="00000000" w14:paraId="00000051">
      <w:pPr>
        <w:spacing w:before="360" w:after="0" w:line="331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color w:val="365F91"/>
          <w:sz w:val="32"/>
          <w:szCs w:val="32"/>
          <w:rtl w:val="0"/>
        </w:rPr>
        <w:t>Languages</w:t>
      </w:r>
    </w:p>
    <w:p w:rsidR="00000000" w:rsidRPr="00000000" w:rsidP="00000000" w14:paraId="00000052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English • Hindi</w:t>
      </w:r>
    </w:p>
    <w:p w:rsidR="00000000" w:rsidRPr="00000000" w:rsidP="00000000" w14:paraId="00000053">
      <w:pPr>
        <w:spacing w:before="360" w:after="0" w:line="331" w:lineRule="auto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00000000">
        <w:rPr>
          <w:rFonts w:ascii="Calibri" w:eastAsia="Calibri" w:hAnsi="Calibri" w:cs="Calibri"/>
          <w:b/>
          <w:bCs/>
          <w:color w:val="365F91"/>
          <w:sz w:val="32"/>
          <w:szCs w:val="32"/>
          <w:rtl w:val="0"/>
        </w:rPr>
        <w:t>References</w:t>
      </w:r>
    </w:p>
    <w:p w:rsidR="00000000" w:rsidRPr="00000000" w:rsidP="00000000" w14:paraId="00000054">
      <w:pPr>
        <w:spacing w:after="160" w:line="331" w:lineRule="auto"/>
        <w:rPr>
          <w:sz w:val="27"/>
          <w:szCs w:val="27"/>
        </w:rPr>
      </w:pPr>
      <w:r w:rsidRPr="00000000">
        <w:rPr>
          <w:sz w:val="27"/>
          <w:szCs w:val="27"/>
          <w:rtl w:val="0"/>
        </w:rPr>
        <w:t>Available on request</w:t>
      </w:r>
    </w:p>
    <w:p w:rsidR="00000000" w:rsidRPr="00000000" w:rsidP="00000000" w14:paraId="0000005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 w:orient="portrait"/>
      <w:pgMar w:top="1440" w:right="1800" w:bottom="1440" w:left="180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charset w:val="00"/>
    <w:family w:val="auto"/>
    <w:pitch w:val="default"/>
  </w:font>
  <w:font w:name="Calibri">
    <w:charset w:val="00"/>
    <w:family w:val="auto"/>
    <w:pitch w:val="default"/>
  </w:font>
  <w:font w:name="Courier">
    <w:charset w:val="00"/>
    <w:family w:val="auto"/>
    <w:pitch w:val="default"/>
  </w:font>
  <w:font w:name="Times New Roman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0000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table" w:customStyle="1" w:styleId="TableNormal0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0000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0000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0000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0000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0000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0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0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0000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00003F"/>
      </w:tcPr>
    </w:tblStylePr>
  </w:style>
  <w:style w:type="table" w:styleId="LightShadingAccent1">
    <w:name w:val="Light Shading Accent 1"/>
    <w:basedOn w:val="TableNormal0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0000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00003F"/>
      </w:tcPr>
    </w:tblStylePr>
  </w:style>
  <w:style w:type="table" w:styleId="LightShadingAccent2">
    <w:name w:val="Light Shading Accent 2"/>
    <w:basedOn w:val="TableNormal0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0000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00003F"/>
      </w:tcPr>
    </w:tblStylePr>
  </w:style>
  <w:style w:type="table" w:styleId="LightShadingAccent3">
    <w:name w:val="Light Shading Accent 3"/>
    <w:basedOn w:val="TableNormal0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0000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00003F"/>
      </w:tcPr>
    </w:tblStylePr>
  </w:style>
  <w:style w:type="table" w:styleId="LightShadingAccent4">
    <w:name w:val="Light Shading Accent 4"/>
    <w:basedOn w:val="TableNormal0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0000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00003F"/>
      </w:tcPr>
    </w:tblStylePr>
  </w:style>
  <w:style w:type="table" w:styleId="LightShadingAccent5">
    <w:name w:val="Light Shading Accent 5"/>
    <w:basedOn w:val="TableNormal0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0000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00003F"/>
      </w:tcPr>
    </w:tblStylePr>
  </w:style>
  <w:style w:type="table" w:styleId="LightShadingAccent6">
    <w:name w:val="Light Shading Accent 6"/>
    <w:basedOn w:val="TableNormal0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0000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00003F"/>
      </w:tcPr>
    </w:tblStylePr>
  </w:style>
  <w:style w:type="table" w:styleId="LightList">
    <w:name w:val="Light List"/>
    <w:basedOn w:val="TableNormal0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0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0000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0000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0000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0000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0000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0000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0000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0000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0000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0000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0000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0000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0000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0000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0000BF"/>
        <w:left w:val="single" w:sz="8" w:space="0" w:color="404040" w:themeColor="text1" w:themeTint="0000BF"/>
        <w:bottom w:val="single" w:sz="8" w:space="0" w:color="404040" w:themeColor="text1" w:themeTint="0000BF"/>
        <w:right w:val="single" w:sz="8" w:space="0" w:color="404040" w:themeColor="text1" w:themeTint="0000BF"/>
        <w:insideH w:val="single" w:sz="8" w:space="0" w:color="404040" w:themeColor="text1" w:themeTint="0000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0000BF"/>
          <w:left w:val="single" w:sz="8" w:space="0" w:color="404040" w:themeColor="text1" w:themeTint="0000BF"/>
          <w:bottom w:val="single" w:sz="8" w:space="0" w:color="404040" w:themeColor="text1" w:themeTint="0000BF"/>
          <w:right w:val="single" w:sz="8" w:space="0" w:color="404040" w:themeColor="text1" w:themeTint="0000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0000BF"/>
          <w:left w:val="single" w:sz="8" w:space="0" w:color="404040" w:themeColor="text1" w:themeTint="0000BF"/>
          <w:bottom w:val="single" w:sz="8" w:space="0" w:color="404040" w:themeColor="text1" w:themeTint="0000BF"/>
          <w:right w:val="single" w:sz="8" w:space="0" w:color="404040" w:themeColor="text1" w:themeTint="0000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0000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0000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0000BF"/>
        <w:left w:val="single" w:sz="8" w:space="0" w:color="7BA0CD" w:themeColor="accent1" w:themeTint="0000BF"/>
        <w:bottom w:val="single" w:sz="8" w:space="0" w:color="7BA0CD" w:themeColor="accent1" w:themeTint="0000BF"/>
        <w:right w:val="single" w:sz="8" w:space="0" w:color="7BA0CD" w:themeColor="accent1" w:themeTint="0000BF"/>
        <w:insideH w:val="single" w:sz="8" w:space="0" w:color="7BA0CD" w:themeColor="accent1" w:themeTint="0000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0000BF"/>
          <w:left w:val="single" w:sz="8" w:space="0" w:color="7BA0CD" w:themeColor="accent1" w:themeTint="0000BF"/>
          <w:bottom w:val="single" w:sz="8" w:space="0" w:color="7BA0CD" w:themeColor="accent1" w:themeTint="0000BF"/>
          <w:right w:val="single" w:sz="8" w:space="0" w:color="7BA0CD" w:themeColor="accent1" w:themeTint="0000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0000BF"/>
          <w:left w:val="single" w:sz="8" w:space="0" w:color="7BA0CD" w:themeColor="accent1" w:themeTint="0000BF"/>
          <w:bottom w:val="single" w:sz="8" w:space="0" w:color="7BA0CD" w:themeColor="accent1" w:themeTint="0000BF"/>
          <w:right w:val="single" w:sz="8" w:space="0" w:color="7BA0CD" w:themeColor="accent1" w:themeTint="0000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0000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0000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0000BF"/>
        <w:left w:val="single" w:sz="8" w:space="0" w:color="CF7B79" w:themeColor="accent2" w:themeTint="0000BF"/>
        <w:bottom w:val="single" w:sz="8" w:space="0" w:color="CF7B79" w:themeColor="accent2" w:themeTint="0000BF"/>
        <w:right w:val="single" w:sz="8" w:space="0" w:color="CF7B79" w:themeColor="accent2" w:themeTint="0000BF"/>
        <w:insideH w:val="single" w:sz="8" w:space="0" w:color="CF7B79" w:themeColor="accent2" w:themeTint="0000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0000BF"/>
          <w:left w:val="single" w:sz="8" w:space="0" w:color="CF7B79" w:themeColor="accent2" w:themeTint="0000BF"/>
          <w:bottom w:val="single" w:sz="8" w:space="0" w:color="CF7B79" w:themeColor="accent2" w:themeTint="0000BF"/>
          <w:right w:val="single" w:sz="8" w:space="0" w:color="CF7B79" w:themeColor="accent2" w:themeTint="0000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0000BF"/>
          <w:left w:val="single" w:sz="8" w:space="0" w:color="CF7B79" w:themeColor="accent2" w:themeTint="0000BF"/>
          <w:bottom w:val="single" w:sz="8" w:space="0" w:color="CF7B79" w:themeColor="accent2" w:themeTint="0000BF"/>
          <w:right w:val="single" w:sz="8" w:space="0" w:color="CF7B79" w:themeColor="accent2" w:themeTint="0000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0000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0000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0000BF"/>
        <w:left w:val="single" w:sz="8" w:space="0" w:color="B3CC82" w:themeColor="accent3" w:themeTint="0000BF"/>
        <w:bottom w:val="single" w:sz="8" w:space="0" w:color="B3CC82" w:themeColor="accent3" w:themeTint="0000BF"/>
        <w:right w:val="single" w:sz="8" w:space="0" w:color="B3CC82" w:themeColor="accent3" w:themeTint="0000BF"/>
        <w:insideH w:val="single" w:sz="8" w:space="0" w:color="B3CC82" w:themeColor="accent3" w:themeTint="0000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0000BF"/>
          <w:left w:val="single" w:sz="8" w:space="0" w:color="B3CC82" w:themeColor="accent3" w:themeTint="0000BF"/>
          <w:bottom w:val="single" w:sz="8" w:space="0" w:color="B3CC82" w:themeColor="accent3" w:themeTint="0000BF"/>
          <w:right w:val="single" w:sz="8" w:space="0" w:color="B3CC82" w:themeColor="accent3" w:themeTint="0000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0000BF"/>
          <w:left w:val="single" w:sz="8" w:space="0" w:color="B3CC82" w:themeColor="accent3" w:themeTint="0000BF"/>
          <w:bottom w:val="single" w:sz="8" w:space="0" w:color="B3CC82" w:themeColor="accent3" w:themeTint="0000BF"/>
          <w:right w:val="single" w:sz="8" w:space="0" w:color="B3CC82" w:themeColor="accent3" w:themeTint="0000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0000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0000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0000BF"/>
        <w:left w:val="single" w:sz="8" w:space="0" w:color="9F8AB9" w:themeColor="accent4" w:themeTint="0000BF"/>
        <w:bottom w:val="single" w:sz="8" w:space="0" w:color="9F8AB9" w:themeColor="accent4" w:themeTint="0000BF"/>
        <w:right w:val="single" w:sz="8" w:space="0" w:color="9F8AB9" w:themeColor="accent4" w:themeTint="0000BF"/>
        <w:insideH w:val="single" w:sz="8" w:space="0" w:color="9F8AB9" w:themeColor="accent4" w:themeTint="0000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0000BF"/>
          <w:left w:val="single" w:sz="8" w:space="0" w:color="9F8AB9" w:themeColor="accent4" w:themeTint="0000BF"/>
          <w:bottom w:val="single" w:sz="8" w:space="0" w:color="9F8AB9" w:themeColor="accent4" w:themeTint="0000BF"/>
          <w:right w:val="single" w:sz="8" w:space="0" w:color="9F8AB9" w:themeColor="accent4" w:themeTint="0000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0000BF"/>
          <w:left w:val="single" w:sz="8" w:space="0" w:color="9F8AB9" w:themeColor="accent4" w:themeTint="0000BF"/>
          <w:bottom w:val="single" w:sz="8" w:space="0" w:color="9F8AB9" w:themeColor="accent4" w:themeTint="0000BF"/>
          <w:right w:val="single" w:sz="8" w:space="0" w:color="9F8AB9" w:themeColor="accent4" w:themeTint="0000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0000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0000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0000BF"/>
        <w:left w:val="single" w:sz="8" w:space="0" w:color="78C0D4" w:themeColor="accent5" w:themeTint="0000BF"/>
        <w:bottom w:val="single" w:sz="8" w:space="0" w:color="78C0D4" w:themeColor="accent5" w:themeTint="0000BF"/>
        <w:right w:val="single" w:sz="8" w:space="0" w:color="78C0D4" w:themeColor="accent5" w:themeTint="0000BF"/>
        <w:insideH w:val="single" w:sz="8" w:space="0" w:color="78C0D4" w:themeColor="accent5" w:themeTint="0000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0000BF"/>
          <w:left w:val="single" w:sz="8" w:space="0" w:color="78C0D4" w:themeColor="accent5" w:themeTint="0000BF"/>
          <w:bottom w:val="single" w:sz="8" w:space="0" w:color="78C0D4" w:themeColor="accent5" w:themeTint="0000BF"/>
          <w:right w:val="single" w:sz="8" w:space="0" w:color="78C0D4" w:themeColor="accent5" w:themeTint="0000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0000BF"/>
          <w:left w:val="single" w:sz="8" w:space="0" w:color="78C0D4" w:themeColor="accent5" w:themeTint="0000BF"/>
          <w:bottom w:val="single" w:sz="8" w:space="0" w:color="78C0D4" w:themeColor="accent5" w:themeTint="0000BF"/>
          <w:right w:val="single" w:sz="8" w:space="0" w:color="78C0D4" w:themeColor="accent5" w:themeTint="0000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0000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0000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0000BF"/>
        <w:left w:val="single" w:sz="8" w:space="0" w:color="F9B074" w:themeColor="accent6" w:themeTint="0000BF"/>
        <w:bottom w:val="single" w:sz="8" w:space="0" w:color="F9B074" w:themeColor="accent6" w:themeTint="0000BF"/>
        <w:right w:val="single" w:sz="8" w:space="0" w:color="F9B074" w:themeColor="accent6" w:themeTint="0000BF"/>
        <w:insideH w:val="single" w:sz="8" w:space="0" w:color="F9B074" w:themeColor="accent6" w:themeTint="0000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0000BF"/>
          <w:left w:val="single" w:sz="8" w:space="0" w:color="F9B074" w:themeColor="accent6" w:themeTint="0000BF"/>
          <w:bottom w:val="single" w:sz="8" w:space="0" w:color="F9B074" w:themeColor="accent6" w:themeTint="0000BF"/>
          <w:right w:val="single" w:sz="8" w:space="0" w:color="F9B074" w:themeColor="accent6" w:themeTint="0000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0000BF"/>
          <w:left w:val="single" w:sz="8" w:space="0" w:color="F9B074" w:themeColor="accent6" w:themeTint="0000BF"/>
          <w:bottom w:val="single" w:sz="8" w:space="0" w:color="F9B074" w:themeColor="accent6" w:themeTint="0000BF"/>
          <w:right w:val="single" w:sz="8" w:space="0" w:color="F9B074" w:themeColor="accent6" w:themeTint="0000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0000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0000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0000D8"/>
      </w:tcPr>
    </w:tblStylePr>
    <w:tblStylePr w:type="band1Horz">
      <w:tblPr/>
      <w:tcPr>
        <w:shd w:val="clear" w:color="auto" w:fill="D8D8D8" w:themeFill="background1" w:themeFillShade="0000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00003F"/>
      </w:tcPr>
    </w:tblStylePr>
    <w:tblStylePr w:type="band1Horz">
      <w:tblPr/>
      <w:tcPr>
        <w:shd w:val="clear" w:color="auto" w:fill="C0C0C0" w:themeFill="text1" w:themeFillTint="00003F"/>
      </w:tcPr>
    </w:tblStylePr>
  </w:style>
  <w:style w:type="table" w:styleId="MediumList1Accent1">
    <w:name w:val="Medium List 1 Accent 1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00003F"/>
      </w:tcPr>
    </w:tblStylePr>
    <w:tblStylePr w:type="band1Horz">
      <w:tblPr/>
      <w:tcPr>
        <w:shd w:val="clear" w:color="auto" w:fill="D3DFEE" w:themeFill="accent1" w:themeFillTint="00003F"/>
      </w:tcPr>
    </w:tblStylePr>
  </w:style>
  <w:style w:type="table" w:styleId="MediumList1Accent2">
    <w:name w:val="Medium List 1 Accent 2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00003F"/>
      </w:tcPr>
    </w:tblStylePr>
    <w:tblStylePr w:type="band1Horz">
      <w:tblPr/>
      <w:tcPr>
        <w:shd w:val="clear" w:color="auto" w:fill="EFD3D2" w:themeFill="accent2" w:themeFillTint="00003F"/>
      </w:tcPr>
    </w:tblStylePr>
  </w:style>
  <w:style w:type="table" w:styleId="MediumList1Accent3">
    <w:name w:val="Medium List 1 Accent 3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00003F"/>
      </w:tcPr>
    </w:tblStylePr>
    <w:tblStylePr w:type="band1Horz">
      <w:tblPr/>
      <w:tcPr>
        <w:shd w:val="clear" w:color="auto" w:fill="E6EED5" w:themeFill="accent3" w:themeFillTint="00003F"/>
      </w:tcPr>
    </w:tblStylePr>
  </w:style>
  <w:style w:type="table" w:styleId="MediumList1Accent4">
    <w:name w:val="Medium List 1 Accent 4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00003F"/>
      </w:tcPr>
    </w:tblStylePr>
    <w:tblStylePr w:type="band1Horz">
      <w:tblPr/>
      <w:tcPr>
        <w:shd w:val="clear" w:color="auto" w:fill="DFD8E8" w:themeFill="accent4" w:themeFillTint="00003F"/>
      </w:tcPr>
    </w:tblStylePr>
  </w:style>
  <w:style w:type="table" w:styleId="MediumList1Accent5">
    <w:name w:val="Medium List 1 Accent 5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00003F"/>
      </w:tcPr>
    </w:tblStylePr>
    <w:tblStylePr w:type="band1Horz">
      <w:tblPr/>
      <w:tcPr>
        <w:shd w:val="clear" w:color="auto" w:fill="D2EAF1" w:themeFill="accent5" w:themeFillTint="00003F"/>
      </w:tcPr>
    </w:tblStylePr>
  </w:style>
  <w:style w:type="table" w:styleId="MediumList1Accent6">
    <w:name w:val="Medium List 1 Accent 6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00003F"/>
      </w:tcPr>
    </w:tblStylePr>
    <w:tblStylePr w:type="band1Horz">
      <w:tblPr/>
      <w:tcPr>
        <w:shd w:val="clear" w:color="auto" w:fill="FDE4D0" w:themeFill="accent6" w:themeFillTint="00003F"/>
      </w:tcPr>
    </w:tblStylePr>
  </w:style>
  <w:style w:type="table" w:styleId="MediumList2">
    <w:name w:val="Medium List 2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0000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0000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0000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0000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0000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0000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0000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0000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0000BF"/>
        <w:left w:val="single" w:sz="8" w:space="0" w:color="404040" w:themeColor="text1" w:themeTint="0000BF"/>
        <w:bottom w:val="single" w:sz="8" w:space="0" w:color="404040" w:themeColor="text1" w:themeTint="0000BF"/>
        <w:right w:val="single" w:sz="8" w:space="0" w:color="404040" w:themeColor="text1" w:themeTint="0000BF"/>
        <w:insideH w:val="single" w:sz="8" w:space="0" w:color="404040" w:themeColor="text1" w:themeTint="0000BF"/>
        <w:insideV w:val="single" w:sz="8" w:space="0" w:color="404040" w:themeColor="text1" w:themeTint="0000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0000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0000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00007F"/>
      </w:tcPr>
    </w:tblStylePr>
    <w:tblStylePr w:type="band1Horz">
      <w:tblPr/>
      <w:tcPr>
        <w:shd w:val="clear" w:color="auto" w:fill="808080" w:themeFill="text1" w:themeFillTint="00007F"/>
      </w:tcPr>
    </w:tblStylePr>
  </w:style>
  <w:style w:type="table" w:styleId="MediumGrid1Accent1">
    <w:name w:val="Medium Grid 1 Accent 1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0000BF"/>
        <w:left w:val="single" w:sz="8" w:space="0" w:color="7BA0CD" w:themeColor="accent1" w:themeTint="0000BF"/>
        <w:bottom w:val="single" w:sz="8" w:space="0" w:color="7BA0CD" w:themeColor="accent1" w:themeTint="0000BF"/>
        <w:right w:val="single" w:sz="8" w:space="0" w:color="7BA0CD" w:themeColor="accent1" w:themeTint="0000BF"/>
        <w:insideH w:val="single" w:sz="8" w:space="0" w:color="7BA0CD" w:themeColor="accent1" w:themeTint="0000BF"/>
        <w:insideV w:val="single" w:sz="8" w:space="0" w:color="7BA0CD" w:themeColor="accent1" w:themeTint="0000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0000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0000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00007F"/>
      </w:tcPr>
    </w:tblStylePr>
    <w:tblStylePr w:type="band1Horz">
      <w:tblPr/>
      <w:tcPr>
        <w:shd w:val="clear" w:color="auto" w:fill="A7BFDE" w:themeFill="accent1" w:themeFillTint="00007F"/>
      </w:tcPr>
    </w:tblStylePr>
  </w:style>
  <w:style w:type="table" w:styleId="MediumGrid1Accent2">
    <w:name w:val="Medium Grid 1 Accent 2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0000BF"/>
        <w:left w:val="single" w:sz="8" w:space="0" w:color="CF7B79" w:themeColor="accent2" w:themeTint="0000BF"/>
        <w:bottom w:val="single" w:sz="8" w:space="0" w:color="CF7B79" w:themeColor="accent2" w:themeTint="0000BF"/>
        <w:right w:val="single" w:sz="8" w:space="0" w:color="CF7B79" w:themeColor="accent2" w:themeTint="0000BF"/>
        <w:insideH w:val="single" w:sz="8" w:space="0" w:color="CF7B79" w:themeColor="accent2" w:themeTint="0000BF"/>
        <w:insideV w:val="single" w:sz="8" w:space="0" w:color="CF7B79" w:themeColor="accent2" w:themeTint="0000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0000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0000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00007F"/>
      </w:tcPr>
    </w:tblStylePr>
    <w:tblStylePr w:type="band1Horz">
      <w:tblPr/>
      <w:tcPr>
        <w:shd w:val="clear" w:color="auto" w:fill="DFA7A6" w:themeFill="accent2" w:themeFillTint="00007F"/>
      </w:tcPr>
    </w:tblStylePr>
  </w:style>
  <w:style w:type="table" w:styleId="MediumGrid1Accent3">
    <w:name w:val="Medium Grid 1 Accent 3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0000BF"/>
        <w:left w:val="single" w:sz="8" w:space="0" w:color="B3CC82" w:themeColor="accent3" w:themeTint="0000BF"/>
        <w:bottom w:val="single" w:sz="8" w:space="0" w:color="B3CC82" w:themeColor="accent3" w:themeTint="0000BF"/>
        <w:right w:val="single" w:sz="8" w:space="0" w:color="B3CC82" w:themeColor="accent3" w:themeTint="0000BF"/>
        <w:insideH w:val="single" w:sz="8" w:space="0" w:color="B3CC82" w:themeColor="accent3" w:themeTint="0000BF"/>
        <w:insideV w:val="single" w:sz="8" w:space="0" w:color="B3CC82" w:themeColor="accent3" w:themeTint="0000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0000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0000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00007F"/>
      </w:tcPr>
    </w:tblStylePr>
    <w:tblStylePr w:type="band1Horz">
      <w:tblPr/>
      <w:tcPr>
        <w:shd w:val="clear" w:color="auto" w:fill="CDDDAC" w:themeFill="accent3" w:themeFillTint="00007F"/>
      </w:tcPr>
    </w:tblStylePr>
  </w:style>
  <w:style w:type="table" w:styleId="MediumGrid1Accent4">
    <w:name w:val="Medium Grid 1 Accent 4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0000BF"/>
        <w:left w:val="single" w:sz="8" w:space="0" w:color="9F8AB9" w:themeColor="accent4" w:themeTint="0000BF"/>
        <w:bottom w:val="single" w:sz="8" w:space="0" w:color="9F8AB9" w:themeColor="accent4" w:themeTint="0000BF"/>
        <w:right w:val="single" w:sz="8" w:space="0" w:color="9F8AB9" w:themeColor="accent4" w:themeTint="0000BF"/>
        <w:insideH w:val="single" w:sz="8" w:space="0" w:color="9F8AB9" w:themeColor="accent4" w:themeTint="0000BF"/>
        <w:insideV w:val="single" w:sz="8" w:space="0" w:color="9F8AB9" w:themeColor="accent4" w:themeTint="0000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0000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0000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00007F"/>
      </w:tcPr>
    </w:tblStylePr>
    <w:tblStylePr w:type="band1Horz">
      <w:tblPr/>
      <w:tcPr>
        <w:shd w:val="clear" w:color="auto" w:fill="BFB1D0" w:themeFill="accent4" w:themeFillTint="00007F"/>
      </w:tcPr>
    </w:tblStylePr>
  </w:style>
  <w:style w:type="table" w:styleId="MediumGrid1Accent5">
    <w:name w:val="Medium Grid 1 Accent 5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0000BF"/>
        <w:left w:val="single" w:sz="8" w:space="0" w:color="78C0D4" w:themeColor="accent5" w:themeTint="0000BF"/>
        <w:bottom w:val="single" w:sz="8" w:space="0" w:color="78C0D4" w:themeColor="accent5" w:themeTint="0000BF"/>
        <w:right w:val="single" w:sz="8" w:space="0" w:color="78C0D4" w:themeColor="accent5" w:themeTint="0000BF"/>
        <w:insideH w:val="single" w:sz="8" w:space="0" w:color="78C0D4" w:themeColor="accent5" w:themeTint="0000BF"/>
        <w:insideV w:val="single" w:sz="8" w:space="0" w:color="78C0D4" w:themeColor="accent5" w:themeTint="0000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0000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0000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00007F"/>
      </w:tcPr>
    </w:tblStylePr>
    <w:tblStylePr w:type="band1Horz">
      <w:tblPr/>
      <w:tcPr>
        <w:shd w:val="clear" w:color="auto" w:fill="A5D5E2" w:themeFill="accent5" w:themeFillTint="00007F"/>
      </w:tcPr>
    </w:tblStylePr>
  </w:style>
  <w:style w:type="table" w:styleId="MediumGrid1Accent6">
    <w:name w:val="Medium Grid 1 Accent 6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0000BF"/>
        <w:left w:val="single" w:sz="8" w:space="0" w:color="F9B074" w:themeColor="accent6" w:themeTint="0000BF"/>
        <w:bottom w:val="single" w:sz="8" w:space="0" w:color="F9B074" w:themeColor="accent6" w:themeTint="0000BF"/>
        <w:right w:val="single" w:sz="8" w:space="0" w:color="F9B074" w:themeColor="accent6" w:themeTint="0000BF"/>
        <w:insideH w:val="single" w:sz="8" w:space="0" w:color="F9B074" w:themeColor="accent6" w:themeTint="0000BF"/>
        <w:insideV w:val="single" w:sz="8" w:space="0" w:color="F9B074" w:themeColor="accent6" w:themeTint="0000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0000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0000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00007F"/>
      </w:tcPr>
    </w:tblStylePr>
    <w:tblStylePr w:type="band1Horz">
      <w:tblPr/>
      <w:tcPr>
        <w:shd w:val="clear" w:color="auto" w:fill="FBCAA2" w:themeFill="accent6" w:themeFillTint="00007F"/>
      </w:tcPr>
    </w:tblStylePr>
  </w:style>
  <w:style w:type="table" w:styleId="MediumGrid2">
    <w:name w:val="Medium Grid 2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0000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0000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000033"/>
      </w:tcPr>
    </w:tblStylePr>
    <w:tblStylePr w:type="band1Vert">
      <w:tblPr/>
      <w:tcPr>
        <w:shd w:val="clear" w:color="auto" w:fill="808080" w:themeFill="text1" w:themeFillTint="0000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0000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0000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000033"/>
      </w:tcPr>
    </w:tblStylePr>
    <w:tblStylePr w:type="band1Vert">
      <w:tblPr/>
      <w:tcPr>
        <w:shd w:val="clear" w:color="auto" w:fill="A7BFDE" w:themeFill="accent1" w:themeFillTint="0000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0000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0000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000033"/>
      </w:tcPr>
    </w:tblStylePr>
    <w:tblStylePr w:type="band1Vert">
      <w:tblPr/>
      <w:tcPr>
        <w:shd w:val="clear" w:color="auto" w:fill="DFA7A6" w:themeFill="accent2" w:themeFillTint="0000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0000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0000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000033"/>
      </w:tcPr>
    </w:tblStylePr>
    <w:tblStylePr w:type="band1Vert">
      <w:tblPr/>
      <w:tcPr>
        <w:shd w:val="clear" w:color="auto" w:fill="CDDDAC" w:themeFill="accent3" w:themeFillTint="0000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0000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0000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000033"/>
      </w:tcPr>
    </w:tblStylePr>
    <w:tblStylePr w:type="band1Vert">
      <w:tblPr/>
      <w:tcPr>
        <w:shd w:val="clear" w:color="auto" w:fill="BFB1D0" w:themeFill="accent4" w:themeFillTint="0000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0000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0000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000033"/>
      </w:tcPr>
    </w:tblStylePr>
    <w:tblStylePr w:type="band1Vert">
      <w:tblPr/>
      <w:tcPr>
        <w:shd w:val="clear" w:color="auto" w:fill="A5D5E2" w:themeFill="accent5" w:themeFillTint="0000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0000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0000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000033"/>
      </w:tcPr>
    </w:tblStylePr>
    <w:tblStylePr w:type="band1Vert">
      <w:tblPr/>
      <w:tcPr>
        <w:shd w:val="clear" w:color="auto" w:fill="FBCAA2" w:themeFill="accent6" w:themeFillTint="0000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0000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0000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0000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00007F"/>
      </w:tcPr>
    </w:tblStylePr>
  </w:style>
  <w:style w:type="table" w:styleId="MediumGrid3Accent1">
    <w:name w:val="Medium Grid 3 Accent 1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0000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0000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00007F"/>
      </w:tcPr>
    </w:tblStylePr>
  </w:style>
  <w:style w:type="table" w:styleId="MediumGrid3Accent2">
    <w:name w:val="Medium Grid 3 Accent 2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0000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0000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00007F"/>
      </w:tcPr>
    </w:tblStylePr>
  </w:style>
  <w:style w:type="table" w:styleId="MediumGrid3Accent3">
    <w:name w:val="Medium Grid 3 Accent 3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0000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0000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00007F"/>
      </w:tcPr>
    </w:tblStylePr>
  </w:style>
  <w:style w:type="table" w:styleId="MediumGrid3Accent4">
    <w:name w:val="Medium Grid 3 Accent 4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0000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0000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00007F"/>
      </w:tcPr>
    </w:tblStylePr>
  </w:style>
  <w:style w:type="table" w:styleId="MediumGrid3Accent5">
    <w:name w:val="Medium Grid 3 Accent 5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0000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0000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00007F"/>
      </w:tcPr>
    </w:tblStylePr>
  </w:style>
  <w:style w:type="table" w:styleId="MediumGrid3Accent6">
    <w:name w:val="Medium Grid 3 Accent 6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0000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0000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00007F"/>
      </w:tcPr>
    </w:tblStylePr>
  </w:style>
  <w:style w:type="table" w:styleId="DarkList">
    <w:name w:val="Dark List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0000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0000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0000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0000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0000BF"/>
      </w:tcPr>
    </w:tblStylePr>
  </w:style>
  <w:style w:type="table" w:styleId="DarkListAccent1">
    <w:name w:val="Dark List Accent 1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0000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0000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0000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0000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0000BF"/>
      </w:tcPr>
    </w:tblStylePr>
  </w:style>
  <w:style w:type="table" w:styleId="DarkListAccent2">
    <w:name w:val="Dark List Accent 2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0000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0000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0000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0000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0000BF"/>
      </w:tcPr>
    </w:tblStylePr>
  </w:style>
  <w:style w:type="table" w:styleId="DarkListAccent3">
    <w:name w:val="Dark List Accent 3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0000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0000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0000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0000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0000BF"/>
      </w:tcPr>
    </w:tblStylePr>
  </w:style>
  <w:style w:type="table" w:styleId="DarkListAccent4">
    <w:name w:val="Dark List Accent 4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0000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0000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0000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0000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0000BF"/>
      </w:tcPr>
    </w:tblStylePr>
  </w:style>
  <w:style w:type="table" w:styleId="DarkListAccent5">
    <w:name w:val="Dark List Accent 5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0000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0000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0000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0000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0000BF"/>
      </w:tcPr>
    </w:tblStylePr>
  </w:style>
  <w:style w:type="table" w:styleId="DarkListAccent6">
    <w:name w:val="Dark List Accent 6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0000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0000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0000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0000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0000BF"/>
      </w:tcPr>
    </w:tblStylePr>
  </w:style>
  <w:style w:type="table" w:styleId="ColorfulShading">
    <w:name w:val="Colorful Shading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0000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0000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000099"/>
          <w:insideV w:val="nil"/>
        </w:tcBorders>
        <w:shd w:val="clear" w:color="auto" w:fill="000000" w:themeFill="text1" w:themeFillShade="0000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0000BF"/>
      </w:tcPr>
    </w:tblStylePr>
    <w:tblStylePr w:type="band1Vert">
      <w:tblPr/>
      <w:tcPr>
        <w:shd w:val="clear" w:color="auto" w:fill="999999" w:themeFill="text1" w:themeFillTint="000066"/>
      </w:tcPr>
    </w:tblStylePr>
    <w:tblStylePr w:type="band1Horz">
      <w:tblPr/>
      <w:tcPr>
        <w:shd w:val="clear" w:color="auto" w:fill="808080" w:themeFill="text1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0000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0000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000099"/>
          <w:insideV w:val="nil"/>
        </w:tcBorders>
        <w:shd w:val="clear" w:color="auto" w:fill="2C4C74" w:themeFill="accent1" w:themeFillShade="0000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000099"/>
      </w:tcPr>
    </w:tblStylePr>
    <w:tblStylePr w:type="band1Vert">
      <w:tblPr/>
      <w:tcPr>
        <w:shd w:val="clear" w:color="auto" w:fill="B8CCE4" w:themeFill="accent1" w:themeFillTint="000066"/>
      </w:tcPr>
    </w:tblStylePr>
    <w:tblStylePr w:type="band1Horz">
      <w:tblPr/>
      <w:tcPr>
        <w:shd w:val="clear" w:color="auto" w:fill="A7BFDE" w:themeFill="accent1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0000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0000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000099"/>
          <w:insideV w:val="nil"/>
        </w:tcBorders>
        <w:shd w:val="clear" w:color="auto" w:fill="772C2A" w:themeFill="accent2" w:themeFillShade="0000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000099"/>
      </w:tcPr>
    </w:tblStylePr>
    <w:tblStylePr w:type="band1Vert">
      <w:tblPr/>
      <w:tcPr>
        <w:shd w:val="clear" w:color="auto" w:fill="E5B8B7" w:themeFill="accent2" w:themeFillTint="000066"/>
      </w:tcPr>
    </w:tblStylePr>
    <w:tblStylePr w:type="band1Horz">
      <w:tblPr/>
      <w:tcPr>
        <w:shd w:val="clear" w:color="auto" w:fill="DFA7A6" w:themeFill="accent2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0000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0000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000099"/>
          <w:insideV w:val="nil"/>
        </w:tcBorders>
        <w:shd w:val="clear" w:color="auto" w:fill="5E7530" w:themeFill="accent3" w:themeFillShade="0000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000099"/>
      </w:tcPr>
    </w:tblStylePr>
    <w:tblStylePr w:type="band1Vert">
      <w:tblPr/>
      <w:tcPr>
        <w:shd w:val="clear" w:color="auto" w:fill="D6E3BC" w:themeFill="accent3" w:themeFillTint="000066"/>
      </w:tcPr>
    </w:tblStylePr>
    <w:tblStylePr w:type="band1Horz">
      <w:tblPr/>
      <w:tcPr>
        <w:shd w:val="clear" w:color="auto" w:fill="CDDDAC" w:themeFill="accent3" w:themeFillTint="00007F"/>
      </w:tcPr>
    </w:tblStylePr>
  </w:style>
  <w:style w:type="table" w:styleId="ColorfulShadingAccent4">
    <w:name w:val="Colorful Shading Accent 4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0000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0000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000099"/>
          <w:insideV w:val="nil"/>
        </w:tcBorders>
        <w:shd w:val="clear" w:color="auto" w:fill="4C3B62" w:themeFill="accent4" w:themeFillShade="0000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000099"/>
      </w:tcPr>
    </w:tblStylePr>
    <w:tblStylePr w:type="band1Vert">
      <w:tblPr/>
      <w:tcPr>
        <w:shd w:val="clear" w:color="auto" w:fill="CCC0D9" w:themeFill="accent4" w:themeFillTint="000066"/>
      </w:tcPr>
    </w:tblStylePr>
    <w:tblStylePr w:type="band1Horz">
      <w:tblPr/>
      <w:tcPr>
        <w:shd w:val="clear" w:color="auto" w:fill="BFB1D0" w:themeFill="accent4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0000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0000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000099"/>
          <w:insideV w:val="nil"/>
        </w:tcBorders>
        <w:shd w:val="clear" w:color="auto" w:fill="276A7C" w:themeFill="accent5" w:themeFillShade="0000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000099"/>
      </w:tcPr>
    </w:tblStylePr>
    <w:tblStylePr w:type="band1Vert">
      <w:tblPr/>
      <w:tcPr>
        <w:shd w:val="clear" w:color="auto" w:fill="B6DDE8" w:themeFill="accent5" w:themeFillTint="000066"/>
      </w:tcPr>
    </w:tblStylePr>
    <w:tblStylePr w:type="band1Horz">
      <w:tblPr/>
      <w:tcPr>
        <w:shd w:val="clear" w:color="auto" w:fill="A5D5E2" w:themeFill="accent5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0000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0000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000099"/>
          <w:insideV w:val="nil"/>
        </w:tcBorders>
        <w:shd w:val="clear" w:color="auto" w:fill="B65608" w:themeFill="accent6" w:themeFillShade="0000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000099"/>
      </w:tcPr>
    </w:tblStylePr>
    <w:tblStylePr w:type="band1Vert">
      <w:tblPr/>
      <w:tcPr>
        <w:shd w:val="clear" w:color="auto" w:fill="FBD4B4" w:themeFill="accent6" w:themeFillTint="000066"/>
      </w:tcPr>
    </w:tblStylePr>
    <w:tblStylePr w:type="band1Horz">
      <w:tblPr/>
      <w:tcPr>
        <w:shd w:val="clear" w:color="auto" w:fill="FBCAA2" w:themeFill="accent6" w:themeFillTint="0000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0000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0000CC"/>
      </w:tcPr>
    </w:tblStylePr>
    <w:tblStylePr w:type="lastRow">
      <w:rPr>
        <w:b/>
        <w:bCs/>
        <w:color w:val="9E3A38" w:themeColor="accent2" w:themeShade="0000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00003F"/>
      </w:tcPr>
    </w:tblStylePr>
    <w:tblStylePr w:type="band1Horz">
      <w:tblPr/>
      <w:tcPr>
        <w:shd w:val="clear" w:color="auto" w:fill="CCCCCC" w:themeFill="text1" w:themeFillTint="000033"/>
      </w:tcPr>
    </w:tblStylePr>
  </w:style>
  <w:style w:type="table" w:styleId="ColorfulListAccent1">
    <w:name w:val="Colorful List Accent 1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0000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0000CC"/>
      </w:tcPr>
    </w:tblStylePr>
    <w:tblStylePr w:type="lastRow">
      <w:rPr>
        <w:b/>
        <w:bCs/>
        <w:color w:val="9E3A38" w:themeColor="accent2" w:themeShade="0000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00003F"/>
      </w:tcPr>
    </w:tblStylePr>
    <w:tblStylePr w:type="band1Horz">
      <w:tblPr/>
      <w:tcPr>
        <w:shd w:val="clear" w:color="auto" w:fill="DBE5F1" w:themeFill="accent1" w:themeFillTint="000033"/>
      </w:tcPr>
    </w:tblStylePr>
  </w:style>
  <w:style w:type="table" w:styleId="ColorfulListAccent2">
    <w:name w:val="Colorful List Accent 2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0000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0000CC"/>
      </w:tcPr>
    </w:tblStylePr>
    <w:tblStylePr w:type="lastRow">
      <w:rPr>
        <w:b/>
        <w:bCs/>
        <w:color w:val="9E3A38" w:themeColor="accent2" w:themeShade="0000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00003F"/>
      </w:tcPr>
    </w:tblStylePr>
    <w:tblStylePr w:type="band1Horz">
      <w:tblPr/>
      <w:tcPr>
        <w:shd w:val="clear" w:color="auto" w:fill="F2DBDB" w:themeFill="accent2" w:themeFillTint="000033"/>
      </w:tcPr>
    </w:tblStylePr>
  </w:style>
  <w:style w:type="table" w:styleId="ColorfulListAccent3">
    <w:name w:val="Colorful List Accent 3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0000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0000CC"/>
      </w:tcPr>
    </w:tblStylePr>
    <w:tblStylePr w:type="lastRow">
      <w:rPr>
        <w:b/>
        <w:bCs/>
        <w:color w:val="664E82" w:themeColor="accent4" w:themeShade="0000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00003F"/>
      </w:tcPr>
    </w:tblStylePr>
    <w:tblStylePr w:type="band1Horz">
      <w:tblPr/>
      <w:tcPr>
        <w:shd w:val="clear" w:color="auto" w:fill="EAF1DD" w:themeFill="accent3" w:themeFillTint="000033"/>
      </w:tcPr>
    </w:tblStylePr>
  </w:style>
  <w:style w:type="table" w:styleId="ColorfulListAccent4">
    <w:name w:val="Colorful List Accent 4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0000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0000CC"/>
      </w:tcPr>
    </w:tblStylePr>
    <w:tblStylePr w:type="lastRow">
      <w:rPr>
        <w:b/>
        <w:bCs/>
        <w:color w:val="7E9C40" w:themeColor="accent3" w:themeShade="0000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00003F"/>
      </w:tcPr>
    </w:tblStylePr>
    <w:tblStylePr w:type="band1Horz">
      <w:tblPr/>
      <w:tcPr>
        <w:shd w:val="clear" w:color="auto" w:fill="E5DFEC" w:themeFill="accent4" w:themeFillTint="000033"/>
      </w:tcPr>
    </w:tblStylePr>
  </w:style>
  <w:style w:type="table" w:styleId="ColorfulListAccent5">
    <w:name w:val="Colorful List Accent 5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0000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0000CC"/>
      </w:tcPr>
    </w:tblStylePr>
    <w:tblStylePr w:type="lastRow">
      <w:rPr>
        <w:b/>
        <w:bCs/>
        <w:color w:val="F2730A" w:themeColor="accent6" w:themeShade="0000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00003F"/>
      </w:tcPr>
    </w:tblStylePr>
    <w:tblStylePr w:type="band1Horz">
      <w:tblPr/>
      <w:tcPr>
        <w:shd w:val="clear" w:color="auto" w:fill="DAEEF3" w:themeFill="accent5" w:themeFillTint="000033"/>
      </w:tcPr>
    </w:tblStylePr>
  </w:style>
  <w:style w:type="table" w:styleId="ColorfulListAccent6">
    <w:name w:val="Colorful List Accent 6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0000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0000CC"/>
      </w:tcPr>
    </w:tblStylePr>
    <w:tblStylePr w:type="lastRow">
      <w:rPr>
        <w:b/>
        <w:bCs/>
        <w:color w:val="348DA5" w:themeColor="accent5" w:themeShade="0000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00003F"/>
      </w:tcPr>
    </w:tblStylePr>
    <w:tblStylePr w:type="band1Horz">
      <w:tblPr/>
      <w:tcPr>
        <w:shd w:val="clear" w:color="auto" w:fill="FDE9D9" w:themeFill="accent6" w:themeFillTint="000033"/>
      </w:tcPr>
    </w:tblStylePr>
  </w:style>
  <w:style w:type="table" w:styleId="ColorfulGrid">
    <w:name w:val="Colorful Grid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000033"/>
    </w:tcPr>
    <w:tblStylePr w:type="firstRow">
      <w:rPr>
        <w:b/>
        <w:bCs/>
      </w:rPr>
      <w:tblPr/>
      <w:tcPr>
        <w:shd w:val="clear" w:color="auto" w:fill="999999" w:themeFill="text1" w:themeFillTint="0000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0000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0000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0000BF"/>
      </w:tcPr>
    </w:tblStylePr>
    <w:tblStylePr w:type="band1Vert">
      <w:tblPr/>
      <w:tcPr>
        <w:shd w:val="clear" w:color="auto" w:fill="808080" w:themeFill="text1" w:themeFillTint="00007F"/>
      </w:tcPr>
    </w:tblStylePr>
    <w:tblStylePr w:type="band1Horz">
      <w:tblPr/>
      <w:tcPr>
        <w:shd w:val="clear" w:color="auto" w:fill="808080" w:themeFill="text1" w:themeFillTint="00007F"/>
      </w:tcPr>
    </w:tblStylePr>
  </w:style>
  <w:style w:type="table" w:styleId="ColorfulGridAccent1">
    <w:name w:val="Colorful Grid Accent 1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000033"/>
    </w:tcPr>
    <w:tblStylePr w:type="firstRow">
      <w:rPr>
        <w:b/>
        <w:bCs/>
      </w:rPr>
      <w:tblPr/>
      <w:tcPr>
        <w:shd w:val="clear" w:color="auto" w:fill="B8CCE4" w:themeFill="accent1" w:themeFillTint="0000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0000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0000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0000BF"/>
      </w:tcPr>
    </w:tblStylePr>
    <w:tblStylePr w:type="band1Vert">
      <w:tblPr/>
      <w:tcPr>
        <w:shd w:val="clear" w:color="auto" w:fill="A7BFDE" w:themeFill="accent1" w:themeFillTint="00007F"/>
      </w:tcPr>
    </w:tblStylePr>
    <w:tblStylePr w:type="band1Horz">
      <w:tblPr/>
      <w:tcPr>
        <w:shd w:val="clear" w:color="auto" w:fill="A7BFDE" w:themeFill="accent1" w:themeFillTint="00007F"/>
      </w:tcPr>
    </w:tblStylePr>
  </w:style>
  <w:style w:type="table" w:styleId="ColorfulGridAccent2">
    <w:name w:val="Colorful Grid Accent 2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000033"/>
    </w:tcPr>
    <w:tblStylePr w:type="firstRow">
      <w:rPr>
        <w:b/>
        <w:bCs/>
      </w:rPr>
      <w:tblPr/>
      <w:tcPr>
        <w:shd w:val="clear" w:color="auto" w:fill="E5B8B7" w:themeFill="accent2" w:themeFillTint="0000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0000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0000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0000BF"/>
      </w:tcPr>
    </w:tblStylePr>
    <w:tblStylePr w:type="band1Vert">
      <w:tblPr/>
      <w:tcPr>
        <w:shd w:val="clear" w:color="auto" w:fill="DFA7A6" w:themeFill="accent2" w:themeFillTint="00007F"/>
      </w:tcPr>
    </w:tblStylePr>
    <w:tblStylePr w:type="band1Horz">
      <w:tblPr/>
      <w:tcPr>
        <w:shd w:val="clear" w:color="auto" w:fill="DFA7A6" w:themeFill="accent2" w:themeFillTint="00007F"/>
      </w:tcPr>
    </w:tblStylePr>
  </w:style>
  <w:style w:type="table" w:styleId="ColorfulGridAccent3">
    <w:name w:val="Colorful Grid Accent 3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000033"/>
    </w:tcPr>
    <w:tblStylePr w:type="firstRow">
      <w:rPr>
        <w:b/>
        <w:bCs/>
      </w:rPr>
      <w:tblPr/>
      <w:tcPr>
        <w:shd w:val="clear" w:color="auto" w:fill="D6E3BC" w:themeFill="accent3" w:themeFillTint="0000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0000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0000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0000BF"/>
      </w:tcPr>
    </w:tblStylePr>
    <w:tblStylePr w:type="band1Vert">
      <w:tblPr/>
      <w:tcPr>
        <w:shd w:val="clear" w:color="auto" w:fill="CDDDAC" w:themeFill="accent3" w:themeFillTint="00007F"/>
      </w:tcPr>
    </w:tblStylePr>
    <w:tblStylePr w:type="band1Horz">
      <w:tblPr/>
      <w:tcPr>
        <w:shd w:val="clear" w:color="auto" w:fill="CDDDAC" w:themeFill="accent3" w:themeFillTint="00007F"/>
      </w:tcPr>
    </w:tblStylePr>
  </w:style>
  <w:style w:type="table" w:styleId="ColorfulGridAccent4">
    <w:name w:val="Colorful Grid Accent 4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000033"/>
    </w:tcPr>
    <w:tblStylePr w:type="firstRow">
      <w:rPr>
        <w:b/>
        <w:bCs/>
      </w:rPr>
      <w:tblPr/>
      <w:tcPr>
        <w:shd w:val="clear" w:color="auto" w:fill="CCC0D9" w:themeFill="accent4" w:themeFillTint="0000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0000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0000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0000BF"/>
      </w:tcPr>
    </w:tblStylePr>
    <w:tblStylePr w:type="band1Vert">
      <w:tblPr/>
      <w:tcPr>
        <w:shd w:val="clear" w:color="auto" w:fill="BFB1D0" w:themeFill="accent4" w:themeFillTint="00007F"/>
      </w:tcPr>
    </w:tblStylePr>
    <w:tblStylePr w:type="band1Horz">
      <w:tblPr/>
      <w:tcPr>
        <w:shd w:val="clear" w:color="auto" w:fill="BFB1D0" w:themeFill="accent4" w:themeFillTint="00007F"/>
      </w:tcPr>
    </w:tblStylePr>
  </w:style>
  <w:style w:type="table" w:styleId="ColorfulGridAccent5">
    <w:name w:val="Colorful Grid Accent 5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000033"/>
    </w:tcPr>
    <w:tblStylePr w:type="firstRow">
      <w:rPr>
        <w:b/>
        <w:bCs/>
      </w:rPr>
      <w:tblPr/>
      <w:tcPr>
        <w:shd w:val="clear" w:color="auto" w:fill="B6DDE8" w:themeFill="accent5" w:themeFillTint="0000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0000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0000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0000BF"/>
      </w:tcPr>
    </w:tblStylePr>
    <w:tblStylePr w:type="band1Vert">
      <w:tblPr/>
      <w:tcPr>
        <w:shd w:val="clear" w:color="auto" w:fill="A5D5E2" w:themeFill="accent5" w:themeFillTint="00007F"/>
      </w:tcPr>
    </w:tblStylePr>
    <w:tblStylePr w:type="band1Horz">
      <w:tblPr/>
      <w:tcPr>
        <w:shd w:val="clear" w:color="auto" w:fill="A5D5E2" w:themeFill="accent5" w:themeFillTint="00007F"/>
      </w:tcPr>
    </w:tblStylePr>
  </w:style>
  <w:style w:type="table" w:styleId="ColorfulGridAccent6">
    <w:name w:val="Colorful Grid Accent 6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000033"/>
    </w:tcPr>
    <w:tblStylePr w:type="firstRow">
      <w:rPr>
        <w:b/>
        <w:bCs/>
      </w:rPr>
      <w:tblPr/>
      <w:tcPr>
        <w:shd w:val="clear" w:color="auto" w:fill="FBD4B4" w:themeFill="accent6" w:themeFillTint="0000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0000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0000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0000BF"/>
      </w:tcPr>
    </w:tblStylePr>
    <w:tblStylePr w:type="band1Vert">
      <w:tblPr/>
      <w:tcPr>
        <w:shd w:val="clear" w:color="auto" w:fill="FBCAA2" w:themeFill="accent6" w:themeFillTint="00007F"/>
      </w:tcPr>
    </w:tblStylePr>
    <w:tblStylePr w:type="band1Horz">
      <w:tblPr/>
      <w:tcPr>
        <w:shd w:val="clear" w:color="auto" w:fill="FBCAA2" w:themeFill="accent6" w:themeFillTint="00007F"/>
      </w:tcPr>
    </w:tblStyle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b52bf57a3f75e3d51520979336fe40fa134f4b0419514c4847440321091b5b58120b14051942595c0b435601514841481f0f2b561358191b195115495d0c00584e4209430247460c590858184508105042445b0c0f054e4108120211474a411b02154e49405d58380c4f03434f130d160519474a411b0b15416a44564a141a245d43400108100214465a5b0f56580f1b525a4553524f01524f100f100b14405c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fGvsT7+w0V7KTL4FoKFhcEUVgg==">CgMxLjA4AHIhMXE5UGE2Sm1TU1diZzV3M3RhM0xrT0pOb1FoRHoyeVJJ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revision>0</cp:revision>
  <dcterms:created xsi:type="dcterms:W3CDTF">2013-12-23T23:15:00Z</dcterms:created>
</cp:coreProperties>
</file>