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BANKING DATA INTEGRATION &amp; ANALYTICS PLATFORM</w:t>
      </w:r>
    </w:p>
    <w:p>
      <w:pPr>
        <w:jc w:val="center"/>
      </w:pPr>
      <w:r>
        <w:rPr>
          <w:b/>
          <w:sz w:val="26"/>
        </w:rPr>
        <w:t>Business Requirements Document (BRD)</w:t>
      </w:r>
    </w:p>
    <w:p>
      <w:pPr>
        <w:jc w:val="center"/>
      </w:pPr>
      <w:r>
        <w:rPr>
          <w:i/>
          <w:sz w:val="18"/>
        </w:rPr>
        <w:t>Version 1.0 | Portfolio Project | Synthetic Banking Dataset</w:t>
      </w:r>
    </w:p>
    <w:p>
      <w:pPr>
        <w:spacing w:before="140" w:after="60"/>
      </w:pPr>
      <w:r>
        <w:rPr>
          <w:b/>
          <w:sz w:val="23"/>
        </w:rPr>
        <w:t>1. Purpose</w:t>
      </w:r>
    </w:p>
    <w:p>
      <w:pPr>
        <w:spacing w:after="80"/>
      </w:pPr>
      <w:r>
        <w:t>This Business Requirements Document defines the functional, data, quality, integration, documentation, analytics, and reporting requirements for the Banking Data Integration &amp; Analytics Platform. The requirements are derived from the supplied Business Problem Statement and the supplied dataset README. Where an implementation approach is specified, it represents the planned portfolio-project solution rather than an existing banking production system.</w:t>
      </w:r>
    </w:p>
    <w:p>
      <w:pPr>
        <w:spacing w:before="140" w:after="60"/>
      </w:pPr>
      <w:r>
        <w:rPr>
          <w:b/>
          <w:sz w:val="23"/>
        </w:rPr>
        <w:t>2. Source Dataset Context</w:t>
      </w:r>
    </w:p>
    <w:p>
      <w:pPr>
        <w:spacing w:after="80"/>
      </w:pPr>
      <w:r>
        <w:t>The supplied README describes a 100% synthetic finance dataset containing customers, accounts, loans, transactions, branches, addresses, and reference tables. It is intended for practicing fraud detection, credit risk modeling, data cleaning, SQL joins, ETL testing, anomaly detection, and data validation. The README states that approximately 7% of the data contains intentionally introduced anomalies.</w:t>
      </w:r>
    </w:p>
    <w:p>
      <w:pPr>
        <w:spacing w:before="140" w:after="60"/>
      </w:pPr>
      <w:r>
        <w:rPr>
          <w:b/>
          <w:sz w:val="23"/>
        </w:rPr>
        <w:t>3. In-Scope Data Sources</w:t>
      </w:r>
    </w:p>
    <w:tbl>
      <w:tblPr>
        <w:tblStyle w:val="TableGrid"/>
        <w:tblW w:type="auto" w:w="0"/>
        <w:jc w:val="center"/>
        <w:tblLook w:firstColumn="1" w:firstRow="1" w:lastColumn="0" w:lastRow="0" w:noHBand="0" w:noVBand="1" w:val="04A0"/>
      </w:tblPr>
      <w:tblGrid>
        <w:gridCol w:w="3552"/>
        <w:gridCol w:w="3552"/>
        <w:gridCol w:w="3552"/>
      </w:tblGrid>
      <w:tr>
        <w:tc>
          <w:tcPr>
            <w:tcW w:type="dxa" w:w="3552"/>
          </w:tcPr>
          <w:p>
            <w:r>
              <w:t>Source File</w:t>
            </w:r>
          </w:p>
        </w:tc>
        <w:tc>
          <w:tcPr>
            <w:tcW w:type="dxa" w:w="3552"/>
          </w:tcPr>
          <w:p>
            <w:r>
              <w:t>Business Role</w:t>
            </w:r>
          </w:p>
        </w:tc>
        <w:tc>
          <w:tcPr>
            <w:tcW w:type="dxa" w:w="3552"/>
          </w:tcPr>
          <w:p>
            <w:r>
              <w:t>Requirement Area</w:t>
            </w:r>
          </w:p>
        </w:tc>
      </w:tr>
      <w:tr>
        <w:tc>
          <w:tcPr>
            <w:tcW w:type="dxa" w:w="3552"/>
            <w:vAlign w:val="center"/>
          </w:tcPr>
          <w:p>
            <w:r>
              <w:t>customers.csv</w:t>
            </w:r>
          </w:p>
        </w:tc>
        <w:tc>
          <w:tcPr>
            <w:tcW w:type="dxa" w:w="3552"/>
            <w:vAlign w:val="center"/>
          </w:tcPr>
          <w:p>
            <w:r>
              <w:t>Customer master data</w:t>
            </w:r>
          </w:p>
        </w:tc>
        <w:tc>
          <w:tcPr>
            <w:tcW w:type="dxa" w:w="3552"/>
            <w:vAlign w:val="center"/>
          </w:tcPr>
          <w:p>
            <w:r>
              <w:t>Customer integration &amp; analytics</w:t>
            </w:r>
          </w:p>
        </w:tc>
      </w:tr>
      <w:tr>
        <w:tc>
          <w:tcPr>
            <w:tcW w:type="dxa" w:w="3552"/>
            <w:vAlign w:val="center"/>
          </w:tcPr>
          <w:p>
            <w:r>
              <w:t>accounts.csv</w:t>
            </w:r>
          </w:p>
        </w:tc>
        <w:tc>
          <w:tcPr>
            <w:tcW w:type="dxa" w:w="3552"/>
            <w:vAlign w:val="center"/>
          </w:tcPr>
          <w:p>
            <w:r>
              <w:t>Bank account data linked to customers</w:t>
            </w:r>
          </w:p>
        </w:tc>
        <w:tc>
          <w:tcPr>
            <w:tcW w:type="dxa" w:w="3552"/>
            <w:vAlign w:val="center"/>
          </w:tcPr>
          <w:p>
            <w:r>
              <w:t>Account integration &amp; analytics</w:t>
            </w:r>
          </w:p>
        </w:tc>
      </w:tr>
      <w:tr>
        <w:tc>
          <w:tcPr>
            <w:tcW w:type="dxa" w:w="3552"/>
            <w:vAlign w:val="center"/>
          </w:tcPr>
          <w:p>
            <w:r>
              <w:t>loans.csv</w:t>
            </w:r>
          </w:p>
        </w:tc>
        <w:tc>
          <w:tcPr>
            <w:tcW w:type="dxa" w:w="3552"/>
            <w:vAlign w:val="center"/>
          </w:tcPr>
          <w:p>
            <w:r>
              <w:t>Loan records</w:t>
            </w:r>
          </w:p>
        </w:tc>
        <w:tc>
          <w:tcPr>
            <w:tcW w:type="dxa" w:w="3552"/>
            <w:vAlign w:val="center"/>
          </w:tcPr>
          <w:p>
            <w:r>
              <w:t>Loan integration &amp; analytics</w:t>
            </w:r>
          </w:p>
        </w:tc>
      </w:tr>
      <w:tr>
        <w:tc>
          <w:tcPr>
            <w:tcW w:type="dxa" w:w="3552"/>
            <w:vAlign w:val="center"/>
          </w:tcPr>
          <w:p>
            <w:r>
              <w:t>transactions.csv</w:t>
            </w:r>
          </w:p>
        </w:tc>
        <w:tc>
          <w:tcPr>
            <w:tcW w:type="dxa" w:w="3552"/>
            <w:vAlign w:val="center"/>
          </w:tcPr>
          <w:p>
            <w:r>
              <w:t>Transaction-level financial activity</w:t>
            </w:r>
          </w:p>
        </w:tc>
        <w:tc>
          <w:tcPr>
            <w:tcW w:type="dxa" w:w="3552"/>
            <w:vAlign w:val="center"/>
          </w:tcPr>
          <w:p>
            <w:r>
              <w:t>Transaction analytics</w:t>
            </w:r>
          </w:p>
        </w:tc>
      </w:tr>
      <w:tr>
        <w:tc>
          <w:tcPr>
            <w:tcW w:type="dxa" w:w="3552"/>
            <w:vAlign w:val="center"/>
          </w:tcPr>
          <w:p>
            <w:r>
              <w:t>branches.csv</w:t>
            </w:r>
          </w:p>
        </w:tc>
        <w:tc>
          <w:tcPr>
            <w:tcW w:type="dxa" w:w="3552"/>
            <w:vAlign w:val="center"/>
          </w:tcPr>
          <w:p>
            <w:r>
              <w:t>Branch metadata</w:t>
            </w:r>
          </w:p>
        </w:tc>
        <w:tc>
          <w:tcPr>
            <w:tcW w:type="dxa" w:w="3552"/>
            <w:vAlign w:val="center"/>
          </w:tcPr>
          <w:p>
            <w:r>
              <w:t>Branch enrichment</w:t>
            </w:r>
          </w:p>
        </w:tc>
      </w:tr>
      <w:tr>
        <w:tc>
          <w:tcPr>
            <w:tcW w:type="dxa" w:w="3552"/>
            <w:vAlign w:val="center"/>
          </w:tcPr>
          <w:p>
            <w:r>
              <w:t>addresses.csv</w:t>
            </w:r>
          </w:p>
        </w:tc>
        <w:tc>
          <w:tcPr>
            <w:tcW w:type="dxa" w:w="3552"/>
            <w:vAlign w:val="center"/>
          </w:tcPr>
          <w:p>
            <w:r>
              <w:t>Location/address data</w:t>
            </w:r>
          </w:p>
        </w:tc>
        <w:tc>
          <w:tcPr>
            <w:tcW w:type="dxa" w:w="3552"/>
            <w:vAlign w:val="center"/>
          </w:tcPr>
          <w:p>
            <w:r>
              <w:t>Customer/branch enrichment</w:t>
            </w:r>
          </w:p>
        </w:tc>
      </w:tr>
      <w:tr>
        <w:tc>
          <w:tcPr>
            <w:tcW w:type="dxa" w:w="3552"/>
            <w:vAlign w:val="center"/>
          </w:tcPr>
          <w:p>
            <w:r>
              <w:t>customer_types.csv</w:t>
            </w:r>
          </w:p>
        </w:tc>
        <w:tc>
          <w:tcPr>
            <w:tcW w:type="dxa" w:w="3552"/>
            <w:vAlign w:val="center"/>
          </w:tcPr>
          <w:p>
            <w:r>
              <w:t>Customer classification</w:t>
            </w:r>
          </w:p>
        </w:tc>
        <w:tc>
          <w:tcPr>
            <w:tcW w:type="dxa" w:w="3552"/>
            <w:vAlign w:val="center"/>
          </w:tcPr>
          <w:p>
            <w:r>
              <w:t>Reference validation</w:t>
            </w:r>
          </w:p>
        </w:tc>
      </w:tr>
      <w:tr>
        <w:tc>
          <w:tcPr>
            <w:tcW w:type="dxa" w:w="3552"/>
            <w:vAlign w:val="center"/>
          </w:tcPr>
          <w:p>
            <w:r>
              <w:t>account_types.csv</w:t>
            </w:r>
          </w:p>
        </w:tc>
        <w:tc>
          <w:tcPr>
            <w:tcW w:type="dxa" w:w="3552"/>
            <w:vAlign w:val="center"/>
          </w:tcPr>
          <w:p>
            <w:r>
              <w:t>Account classification</w:t>
            </w:r>
          </w:p>
        </w:tc>
        <w:tc>
          <w:tcPr>
            <w:tcW w:type="dxa" w:w="3552"/>
            <w:vAlign w:val="center"/>
          </w:tcPr>
          <w:p>
            <w:r>
              <w:t>Reference validation</w:t>
            </w:r>
          </w:p>
        </w:tc>
      </w:tr>
      <w:tr>
        <w:tc>
          <w:tcPr>
            <w:tcW w:type="dxa" w:w="3552"/>
            <w:vAlign w:val="center"/>
          </w:tcPr>
          <w:p>
            <w:r>
              <w:t>account_statuses.csv</w:t>
            </w:r>
          </w:p>
        </w:tc>
        <w:tc>
          <w:tcPr>
            <w:tcW w:type="dxa" w:w="3552"/>
            <w:vAlign w:val="center"/>
          </w:tcPr>
          <w:p>
            <w:r>
              <w:t>Account lifecycle status</w:t>
            </w:r>
          </w:p>
        </w:tc>
        <w:tc>
          <w:tcPr>
            <w:tcW w:type="dxa" w:w="3552"/>
            <w:vAlign w:val="center"/>
          </w:tcPr>
          <w:p>
            <w:r>
              <w:t>Reference validation</w:t>
            </w:r>
          </w:p>
        </w:tc>
      </w:tr>
      <w:tr>
        <w:tc>
          <w:tcPr>
            <w:tcW w:type="dxa" w:w="3552"/>
            <w:vAlign w:val="center"/>
          </w:tcPr>
          <w:p>
            <w:r>
              <w:t>loan_statuses.csv</w:t>
            </w:r>
          </w:p>
        </w:tc>
        <w:tc>
          <w:tcPr>
            <w:tcW w:type="dxa" w:w="3552"/>
            <w:vAlign w:val="center"/>
          </w:tcPr>
          <w:p>
            <w:r>
              <w:t>Loan status classification</w:t>
            </w:r>
          </w:p>
        </w:tc>
        <w:tc>
          <w:tcPr>
            <w:tcW w:type="dxa" w:w="3552"/>
            <w:vAlign w:val="center"/>
          </w:tcPr>
          <w:p>
            <w:r>
              <w:t>Reference validation</w:t>
            </w:r>
          </w:p>
        </w:tc>
      </w:tr>
      <w:tr>
        <w:tc>
          <w:tcPr>
            <w:tcW w:type="dxa" w:w="3552"/>
            <w:vAlign w:val="center"/>
          </w:tcPr>
          <w:p>
            <w:r>
              <w:t>transaction_types.csv</w:t>
            </w:r>
          </w:p>
        </w:tc>
        <w:tc>
          <w:tcPr>
            <w:tcW w:type="dxa" w:w="3552"/>
            <w:vAlign w:val="center"/>
          </w:tcPr>
          <w:p>
            <w:r>
              <w:t>Transaction classification</w:t>
            </w:r>
          </w:p>
        </w:tc>
        <w:tc>
          <w:tcPr>
            <w:tcW w:type="dxa" w:w="3552"/>
            <w:vAlign w:val="center"/>
          </w:tcPr>
          <w:p>
            <w:r>
              <w:t>Reference validation</w:t>
            </w:r>
          </w:p>
        </w:tc>
      </w:tr>
    </w:tbl>
    <w:p>
      <w:pPr>
        <w:spacing w:before="140" w:after="60"/>
      </w:pPr>
      <w:r>
        <w:rPr>
          <w:b/>
          <w:sz w:val="23"/>
        </w:rPr>
        <w:t>4. Business Requirements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t>ID</w:t>
            </w:r>
          </w:p>
        </w:tc>
        <w:tc>
          <w:tcPr>
            <w:tcW w:type="dxa" w:w="2131"/>
          </w:tcPr>
          <w:p>
            <w:r>
              <w:t>Requirement</w:t>
            </w:r>
          </w:p>
        </w:tc>
        <w:tc>
          <w:tcPr>
            <w:tcW w:type="dxa" w:w="2131"/>
          </w:tcPr>
          <w:p>
            <w:r>
              <w:t>Description</w:t>
            </w:r>
          </w:p>
        </w:tc>
        <w:tc>
          <w:tcPr>
            <w:tcW w:type="dxa" w:w="2131"/>
          </w:tcPr>
          <w:p>
            <w:r>
              <w:t>Priority</w:t>
            </w:r>
          </w:p>
        </w:tc>
        <w:tc>
          <w:tcPr>
            <w:tcW w:type="dxa" w:w="2131"/>
          </w:tcPr>
          <w:p>
            <w:r>
              <w:t>Acceptance Criteria</w:t>
            </w:r>
          </w:p>
        </w:tc>
      </w:tr>
      <w:tr>
        <w:tc>
          <w:tcPr>
            <w:tcW w:type="dxa" w:w="2131"/>
            <w:vAlign w:val="center"/>
          </w:tcPr>
          <w:p>
            <w:r>
              <w:t>BR-001</w:t>
            </w:r>
          </w:p>
        </w:tc>
        <w:tc>
          <w:tcPr>
            <w:tcW w:type="dxa" w:w="2131"/>
            <w:vAlign w:val="center"/>
          </w:tcPr>
          <w:p>
            <w:r>
              <w:t>Data Source Integration</w:t>
            </w:r>
          </w:p>
        </w:tc>
        <w:tc>
          <w:tcPr>
            <w:tcW w:type="dxa" w:w="2131"/>
            <w:vAlign w:val="center"/>
          </w:tcPr>
          <w:p>
            <w:r>
              <w:t>The solution shall ingest all in-scope CSV source files into the project data pipeline.</w:t>
            </w:r>
          </w:p>
        </w:tc>
        <w:tc>
          <w:tcPr>
            <w:tcW w:type="dxa" w:w="2131"/>
            <w:vAlign w:val="center"/>
          </w:tcPr>
          <w:p>
            <w:r>
              <w:t>High</w:t>
            </w:r>
          </w:p>
        </w:tc>
        <w:tc>
          <w:tcPr>
            <w:tcW w:type="dxa" w:w="2131"/>
            <w:vAlign w:val="center"/>
          </w:tcPr>
          <w:p>
            <w:r>
              <w:t>All 11 CSV source tables are accounted for in the source inventory and pipeline.</w:t>
            </w:r>
          </w:p>
        </w:tc>
      </w:tr>
      <w:tr>
        <w:tc>
          <w:tcPr>
            <w:tcW w:type="dxa" w:w="2131"/>
            <w:vAlign w:val="center"/>
          </w:tcPr>
          <w:p>
            <w:r>
              <w:t>BR-002</w:t>
            </w:r>
          </w:p>
        </w:tc>
        <w:tc>
          <w:tcPr>
            <w:tcW w:type="dxa" w:w="2131"/>
            <w:vAlign w:val="center"/>
          </w:tcPr>
          <w:p>
            <w:r>
              <w:t>Customer Data Integration</w:t>
            </w:r>
          </w:p>
        </w:tc>
        <w:tc>
          <w:tcPr>
            <w:tcW w:type="dxa" w:w="2131"/>
            <w:vAlign w:val="center"/>
          </w:tcPr>
          <w:p>
            <w:r>
              <w:t>The solution shall integrate customer master records with customer type and address information using the available reference keys.</w:t>
            </w:r>
          </w:p>
        </w:tc>
        <w:tc>
          <w:tcPr>
            <w:tcW w:type="dxa" w:w="2131"/>
            <w:vAlign w:val="center"/>
          </w:tcPr>
          <w:p>
            <w:r>
              <w:t>High</w:t>
            </w:r>
          </w:p>
        </w:tc>
        <w:tc>
          <w:tcPr>
            <w:tcW w:type="dxa" w:w="2131"/>
            <w:vAlign w:val="center"/>
          </w:tcPr>
          <w:p>
            <w:r>
              <w:t>Customer records can be linked to the corresponding customer type and address where valid keys exist.</w:t>
            </w:r>
          </w:p>
        </w:tc>
      </w:tr>
      <w:tr>
        <w:tc>
          <w:tcPr>
            <w:tcW w:type="dxa" w:w="2131"/>
            <w:vAlign w:val="center"/>
          </w:tcPr>
          <w:p>
            <w:r>
              <w:t>BR-003</w:t>
            </w:r>
          </w:p>
        </w:tc>
        <w:tc>
          <w:tcPr>
            <w:tcW w:type="dxa" w:w="2131"/>
            <w:vAlign w:val="center"/>
          </w:tcPr>
          <w:p>
            <w:r>
              <w:t>Account Data Integration</w:t>
            </w:r>
          </w:p>
        </w:tc>
        <w:tc>
          <w:tcPr>
            <w:tcW w:type="dxa" w:w="2131"/>
            <w:vAlign w:val="center"/>
          </w:tcPr>
          <w:p>
            <w:r>
              <w:t>The solution shall integrate account records with customer, account type, and account status information.</w:t>
            </w:r>
          </w:p>
        </w:tc>
        <w:tc>
          <w:tcPr>
            <w:tcW w:type="dxa" w:w="2131"/>
            <w:vAlign w:val="center"/>
          </w:tcPr>
          <w:p>
            <w:r>
              <w:t>High</w:t>
            </w:r>
          </w:p>
        </w:tc>
        <w:tc>
          <w:tcPr>
            <w:tcW w:type="dxa" w:w="2131"/>
            <w:vAlign w:val="center"/>
          </w:tcPr>
          <w:p>
            <w:r>
              <w:t>Account records are linked to valid customer/type/status references or are flagged for validation.</w:t>
            </w:r>
          </w:p>
        </w:tc>
      </w:tr>
      <w:tr>
        <w:tc>
          <w:tcPr>
            <w:tcW w:type="dxa" w:w="2131"/>
            <w:vAlign w:val="center"/>
          </w:tcPr>
          <w:p>
            <w:r>
              <w:t>BR-004</w:t>
            </w:r>
          </w:p>
        </w:tc>
        <w:tc>
          <w:tcPr>
            <w:tcW w:type="dxa" w:w="2131"/>
            <w:vAlign w:val="center"/>
          </w:tcPr>
          <w:p>
            <w:r>
              <w:t>Loan Data Integration</w:t>
            </w:r>
          </w:p>
        </w:tc>
        <w:tc>
          <w:tcPr>
            <w:tcW w:type="dxa" w:w="2131"/>
            <w:vAlign w:val="center"/>
          </w:tcPr>
          <w:p>
            <w:r>
              <w:t>The solution shall integrate loan records with account and loan-status information.</w:t>
            </w:r>
          </w:p>
        </w:tc>
        <w:tc>
          <w:tcPr>
            <w:tcW w:type="dxa" w:w="2131"/>
            <w:vAlign w:val="center"/>
          </w:tcPr>
          <w:p>
            <w:r>
              <w:t>High</w:t>
            </w:r>
          </w:p>
        </w:tc>
        <w:tc>
          <w:tcPr>
            <w:tcW w:type="dxa" w:w="2131"/>
            <w:vAlign w:val="center"/>
          </w:tcPr>
          <w:p>
            <w:r>
              <w:t>Loan records can be analyzed by account and loan status and invalid references are identified.</w:t>
            </w:r>
          </w:p>
        </w:tc>
      </w:tr>
      <w:tr>
        <w:tc>
          <w:tcPr>
            <w:tcW w:type="dxa" w:w="2131"/>
            <w:vAlign w:val="center"/>
          </w:tcPr>
          <w:p>
            <w:r>
              <w:t>BR-005</w:t>
            </w:r>
          </w:p>
        </w:tc>
        <w:tc>
          <w:tcPr>
            <w:tcW w:type="dxa" w:w="2131"/>
            <w:vAlign w:val="center"/>
          </w:tcPr>
          <w:p>
            <w:r>
              <w:t>Transaction Data Integration</w:t>
            </w:r>
          </w:p>
        </w:tc>
        <w:tc>
          <w:tcPr>
            <w:tcW w:type="dxa" w:w="2131"/>
            <w:vAlign w:val="center"/>
          </w:tcPr>
          <w:p>
            <w:r>
              <w:t>The solution shall integrate transaction records with transaction type and branch information and support account-origin/account-destination analysis.</w:t>
            </w:r>
          </w:p>
        </w:tc>
        <w:tc>
          <w:tcPr>
            <w:tcW w:type="dxa" w:w="2131"/>
            <w:vAlign w:val="center"/>
          </w:tcPr>
          <w:p>
            <w:r>
              <w:t>High</w:t>
            </w:r>
          </w:p>
        </w:tc>
        <w:tc>
          <w:tcPr>
            <w:tcW w:type="dxa" w:w="2131"/>
            <w:vAlign w:val="center"/>
          </w:tcPr>
          <w:p>
            <w:r>
              <w:t>Transaction records are available for analytical queries with their valid reference attributes where available.</w:t>
            </w:r>
          </w:p>
        </w:tc>
      </w:tr>
      <w:tr>
        <w:tc>
          <w:tcPr>
            <w:tcW w:type="dxa" w:w="2131"/>
            <w:vAlign w:val="center"/>
          </w:tcPr>
          <w:p>
            <w:r>
              <w:t>BR-006</w:t>
            </w:r>
          </w:p>
        </w:tc>
        <w:tc>
          <w:tcPr>
            <w:tcW w:type="dxa" w:w="2131"/>
            <w:vAlign w:val="center"/>
          </w:tcPr>
          <w:p>
            <w:r>
              <w:t>Reference Data Validation</w:t>
            </w:r>
          </w:p>
        </w:tc>
        <w:tc>
          <w:tcPr>
            <w:tcW w:type="dxa" w:w="2131"/>
            <w:vAlign w:val="center"/>
          </w:tcPr>
          <w:p>
            <w:r>
              <w:t>The solution shall use the supplied type/status reference tables to validate categorical identifiers in core tables.</w:t>
            </w:r>
          </w:p>
        </w:tc>
        <w:tc>
          <w:tcPr>
            <w:tcW w:type="dxa" w:w="2131"/>
            <w:vAlign w:val="center"/>
          </w:tcPr>
          <w:p>
            <w:r>
              <w:t>High</w:t>
            </w:r>
          </w:p>
        </w:tc>
        <w:tc>
          <w:tcPr>
            <w:tcW w:type="dxa" w:w="2131"/>
            <w:vAlign w:val="center"/>
          </w:tcPr>
          <w:p>
            <w:r>
              <w:t>Invalid or unmatched reference IDs are identified and reported.</w:t>
            </w:r>
          </w:p>
        </w:tc>
      </w:tr>
      <w:tr>
        <w:tc>
          <w:tcPr>
            <w:tcW w:type="dxa" w:w="2131"/>
            <w:vAlign w:val="center"/>
          </w:tcPr>
          <w:p>
            <w:r>
              <w:t>BR-007</w:t>
            </w:r>
          </w:p>
        </w:tc>
        <w:tc>
          <w:tcPr>
            <w:tcW w:type="dxa" w:w="2131"/>
            <w:vAlign w:val="center"/>
          </w:tcPr>
          <w:p>
            <w:r>
              <w:t>Data Quality Assessment</w:t>
            </w:r>
          </w:p>
        </w:tc>
        <w:tc>
          <w:tcPr>
            <w:tcW w:type="dxa" w:w="2131"/>
            <w:vAlign w:val="center"/>
          </w:tcPr>
          <w:p>
            <w:r>
              <w:t>The solution shall profile source data for missing values, duplicates, inconsistent formats, non-sequential IDs, and future dates, based on the anomaly categories documented in the README.</w:t>
            </w:r>
          </w:p>
        </w:tc>
        <w:tc>
          <w:tcPr>
            <w:tcW w:type="dxa" w:w="2131"/>
            <w:vAlign w:val="center"/>
          </w:tcPr>
          <w:p>
            <w:r>
              <w:t>High</w:t>
            </w:r>
          </w:p>
        </w:tc>
        <w:tc>
          <w:tcPr>
            <w:tcW w:type="dxa" w:w="2131"/>
            <w:vAlign w:val="center"/>
          </w:tcPr>
          <w:p>
            <w:r>
              <w:t>A repeatable data-quality report lists issue type, affected table/field, record impact, and treatment.</w:t>
            </w:r>
          </w:p>
        </w:tc>
      </w:tr>
      <w:tr>
        <w:tc>
          <w:tcPr>
            <w:tcW w:type="dxa" w:w="2131"/>
            <w:vAlign w:val="center"/>
          </w:tcPr>
          <w:p>
            <w:r>
              <w:t>BR-008</w:t>
            </w:r>
          </w:p>
        </w:tc>
        <w:tc>
          <w:tcPr>
            <w:tcW w:type="dxa" w:w="2131"/>
            <w:vAlign w:val="center"/>
          </w:tcPr>
          <w:p>
            <w:r>
              <w:t>Data Cleaning &amp; Standardization</w:t>
            </w:r>
          </w:p>
        </w:tc>
        <w:tc>
          <w:tcPr>
            <w:tcW w:type="dxa" w:w="2131"/>
            <w:vAlign w:val="center"/>
          </w:tcPr>
          <w:p>
            <w:r>
              <w:t>The ETL process shall apply documented rules to standardize supported dates, numeric/text formats, and handle missing or duplicate records without silently deleting business information.</w:t>
            </w:r>
          </w:p>
        </w:tc>
        <w:tc>
          <w:tcPr>
            <w:tcW w:type="dxa" w:w="2131"/>
            <w:vAlign w:val="center"/>
          </w:tcPr>
          <w:p>
            <w:r>
              <w:t>High</w:t>
            </w:r>
          </w:p>
        </w:tc>
        <w:tc>
          <w:tcPr>
            <w:tcW w:type="dxa" w:w="2131"/>
            <w:vAlign w:val="center"/>
          </w:tcPr>
          <w:p>
            <w:r>
              <w:t>Every transformation has a documented rule and the output can be reconciled to source counts.</w:t>
            </w:r>
          </w:p>
        </w:tc>
      </w:tr>
      <w:tr>
        <w:tc>
          <w:tcPr>
            <w:tcW w:type="dxa" w:w="2131"/>
            <w:vAlign w:val="center"/>
          </w:tcPr>
          <w:p>
            <w:r>
              <w:t>BR-009</w:t>
            </w:r>
          </w:p>
        </w:tc>
        <w:tc>
          <w:tcPr>
            <w:tcW w:type="dxa" w:w="2131"/>
            <w:vAlign w:val="center"/>
          </w:tcPr>
          <w:p>
            <w:r>
              <w:t>Data Reconciliation</w:t>
            </w:r>
          </w:p>
        </w:tc>
        <w:tc>
          <w:tcPr>
            <w:tcW w:type="dxa" w:w="2131"/>
            <w:vAlign w:val="center"/>
          </w:tcPr>
          <w:p>
            <w:r>
              <w:t>The solution shall compare source and transformed record counts and key totals where applicable.</w:t>
            </w:r>
          </w:p>
        </w:tc>
        <w:tc>
          <w:tcPr>
            <w:tcW w:type="dxa" w:w="2131"/>
            <w:vAlign w:val="center"/>
          </w:tcPr>
          <w:p>
            <w:r>
              <w:t>High</w:t>
            </w:r>
          </w:p>
        </w:tc>
        <w:tc>
          <w:tcPr>
            <w:tcW w:type="dxa" w:w="2131"/>
            <w:vAlign w:val="center"/>
          </w:tcPr>
          <w:p>
            <w:r>
              <w:t>Reconciliation results show source count, target count, exceptions, and explanation.</w:t>
            </w:r>
          </w:p>
        </w:tc>
      </w:tr>
      <w:tr>
        <w:tc>
          <w:tcPr>
            <w:tcW w:type="dxa" w:w="2131"/>
            <w:vAlign w:val="center"/>
          </w:tcPr>
          <w:p>
            <w:r>
              <w:t>BR-010</w:t>
            </w:r>
          </w:p>
        </w:tc>
        <w:tc>
          <w:tcPr>
            <w:tcW w:type="dxa" w:w="2131"/>
            <w:vAlign w:val="center"/>
          </w:tcPr>
          <w:p>
            <w:r>
              <w:t>Source-to-Target Mapping</w:t>
            </w:r>
          </w:p>
        </w:tc>
        <w:tc>
          <w:tcPr>
            <w:tcW w:type="dxa" w:w="2131"/>
            <w:vAlign w:val="center"/>
          </w:tcPr>
          <w:p>
            <w:r>
              <w:t>The project shall maintain a mapping document showing source table/column, target table/column, data type, transformation rule, and validation rule.</w:t>
            </w:r>
          </w:p>
        </w:tc>
        <w:tc>
          <w:tcPr>
            <w:tcW w:type="dxa" w:w="2131"/>
            <w:vAlign w:val="center"/>
          </w:tcPr>
          <w:p>
            <w:r>
              <w:t>High</w:t>
            </w:r>
          </w:p>
        </w:tc>
        <w:tc>
          <w:tcPr>
            <w:tcW w:type="dxa" w:w="2131"/>
            <w:vAlign w:val="center"/>
          </w:tcPr>
          <w:p>
            <w:r>
              <w:t>Every target analytical field included in the ETL is traceable to its source or documented derivation.</w:t>
            </w:r>
          </w:p>
        </w:tc>
      </w:tr>
      <w:tr>
        <w:tc>
          <w:tcPr>
            <w:tcW w:type="dxa" w:w="2131"/>
            <w:vAlign w:val="center"/>
          </w:tcPr>
          <w:p>
            <w:r>
              <w:t>BR-011</w:t>
            </w:r>
          </w:p>
        </w:tc>
        <w:tc>
          <w:tcPr>
            <w:tcW w:type="dxa" w:w="2131"/>
            <w:vAlign w:val="center"/>
          </w:tcPr>
          <w:p>
            <w:r>
              <w:t>Metadata &amp; Data Dictionary</w:t>
            </w:r>
          </w:p>
        </w:tc>
        <w:tc>
          <w:tcPr>
            <w:tcW w:type="dxa" w:w="2131"/>
            <w:vAlign w:val="center"/>
          </w:tcPr>
          <w:p>
            <w:r>
              <w:t>The project shall document important fields with definitions, data types, source, business meaning, and transformation information.</w:t>
            </w:r>
          </w:p>
        </w:tc>
        <w:tc>
          <w:tcPr>
            <w:tcW w:type="dxa" w:w="2131"/>
            <w:vAlign w:val="center"/>
          </w:tcPr>
          <w:p>
            <w:r>
              <w:t>High</w:t>
            </w:r>
          </w:p>
        </w:tc>
        <w:tc>
          <w:tcPr>
            <w:tcW w:type="dxa" w:w="2131"/>
            <w:vAlign w:val="center"/>
          </w:tcPr>
          <w:p>
            <w:r>
              <w:t>The metadata document provides a consistent definition for key analytical fields.</w:t>
            </w:r>
          </w:p>
        </w:tc>
      </w:tr>
      <w:tr>
        <w:tc>
          <w:tcPr>
            <w:tcW w:type="dxa" w:w="2131"/>
            <w:vAlign w:val="center"/>
          </w:tcPr>
          <w:p>
            <w:r>
              <w:t>BR-012</w:t>
            </w:r>
          </w:p>
        </w:tc>
        <w:tc>
          <w:tcPr>
            <w:tcW w:type="dxa" w:w="2131"/>
            <w:vAlign w:val="center"/>
          </w:tcPr>
          <w:p>
            <w:r>
              <w:t>Data Lineage</w:t>
            </w:r>
          </w:p>
        </w:tc>
        <w:tc>
          <w:tcPr>
            <w:tcW w:type="dxa" w:w="2131"/>
            <w:vAlign w:val="center"/>
          </w:tcPr>
          <w:p>
            <w:r>
              <w:t>The project shall document the movement of data from source CSV files through ETL and database transformations to analytical outputs.</w:t>
            </w:r>
          </w:p>
        </w:tc>
        <w:tc>
          <w:tcPr>
            <w:tcW w:type="dxa" w:w="2131"/>
            <w:vAlign w:val="center"/>
          </w:tcPr>
          <w:p>
            <w:r>
              <w:t>High</w:t>
            </w:r>
          </w:p>
        </w:tc>
        <w:tc>
          <w:tcPr>
            <w:tcW w:type="dxa" w:w="2131"/>
            <w:vAlign w:val="center"/>
          </w:tcPr>
          <w:p>
            <w:r>
              <w:t>A reviewer can trace selected Power BI/analytical fields back to their source fields.</w:t>
            </w:r>
          </w:p>
        </w:tc>
      </w:tr>
      <w:tr>
        <w:tc>
          <w:tcPr>
            <w:tcW w:type="dxa" w:w="2131"/>
            <w:vAlign w:val="center"/>
          </w:tcPr>
          <w:p>
            <w:r>
              <w:t>BR-013</w:t>
            </w:r>
          </w:p>
        </w:tc>
        <w:tc>
          <w:tcPr>
            <w:tcW w:type="dxa" w:w="2131"/>
            <w:vAlign w:val="center"/>
          </w:tcPr>
          <w:p>
            <w:r>
              <w:t>Analytical Data Layer</w:t>
            </w:r>
          </w:p>
        </w:tc>
        <w:tc>
          <w:tcPr>
            <w:tcW w:type="dxa" w:w="2131"/>
            <w:vAlign w:val="center"/>
          </w:tcPr>
          <w:p>
            <w:r>
              <w:t>The solution shall create a structured relational analytical layer suitable for SQL analysis and reporting.</w:t>
            </w:r>
          </w:p>
        </w:tc>
        <w:tc>
          <w:tcPr>
            <w:tcW w:type="dxa" w:w="2131"/>
            <w:vAlign w:val="center"/>
          </w:tcPr>
          <w:p>
            <w:r>
              <w:t>High</w:t>
            </w:r>
          </w:p>
        </w:tc>
        <w:tc>
          <w:tcPr>
            <w:tcW w:type="dxa" w:w="2131"/>
            <w:vAlign w:val="center"/>
          </w:tcPr>
          <w:p>
            <w:r>
              <w:t>Core entities and reference relationships can be queried consistently.</w:t>
            </w:r>
          </w:p>
        </w:tc>
      </w:tr>
      <w:tr>
        <w:tc>
          <w:tcPr>
            <w:tcW w:type="dxa" w:w="2131"/>
            <w:vAlign w:val="center"/>
          </w:tcPr>
          <w:p>
            <w:r>
              <w:t>BR-014</w:t>
            </w:r>
          </w:p>
        </w:tc>
        <w:tc>
          <w:tcPr>
            <w:tcW w:type="dxa" w:w="2131"/>
            <w:vAlign w:val="center"/>
          </w:tcPr>
          <w:p>
            <w:r>
              <w:t>Logical Data Access / Virtualization</w:t>
            </w:r>
          </w:p>
        </w:tc>
        <w:tc>
          <w:tcPr>
            <w:tcW w:type="dxa" w:w="2131"/>
            <w:vAlign w:val="center"/>
          </w:tcPr>
          <w:p>
            <w:r>
              <w:t>The project shall demonstrate a logical integrated data layer using SQL Views so that selected analytical outputs can be queried without duplicating the underlying source tables.</w:t>
            </w:r>
          </w:p>
        </w:tc>
        <w:tc>
          <w:tcPr>
            <w:tcW w:type="dxa" w:w="2131"/>
            <w:vAlign w:val="center"/>
          </w:tcPr>
          <w:p>
            <w:r>
              <w:t>Medium</w:t>
            </w:r>
          </w:p>
        </w:tc>
        <w:tc>
          <w:tcPr>
            <w:tcW w:type="dxa" w:w="2131"/>
            <w:vAlign w:val="center"/>
          </w:tcPr>
          <w:p>
            <w:r>
              <w:t>At least one documented SQL View combines relevant source/target entities for analytics.</w:t>
            </w:r>
          </w:p>
        </w:tc>
      </w:tr>
      <w:tr>
        <w:tc>
          <w:tcPr>
            <w:tcW w:type="dxa" w:w="2131"/>
            <w:vAlign w:val="center"/>
          </w:tcPr>
          <w:p>
            <w:r>
              <w:t>BR-015</w:t>
            </w:r>
          </w:p>
        </w:tc>
        <w:tc>
          <w:tcPr>
            <w:tcW w:type="dxa" w:w="2131"/>
            <w:vAlign w:val="center"/>
          </w:tcPr>
          <w:p>
            <w:r>
              <w:t>Data Domain Organization</w:t>
            </w:r>
          </w:p>
        </w:tc>
        <w:tc>
          <w:tcPr>
            <w:tcW w:type="dxa" w:w="2131"/>
            <w:vAlign w:val="center"/>
          </w:tcPr>
          <w:p>
            <w:r>
              <w:t>The project shall organize the data into logical business domains such as Customer, Account, Loan, and Transaction for portfolio-level Data Mesh demonstration.</w:t>
            </w:r>
          </w:p>
        </w:tc>
        <w:tc>
          <w:tcPr>
            <w:tcW w:type="dxa" w:w="2131"/>
            <w:vAlign w:val="center"/>
          </w:tcPr>
          <w:p>
            <w:r>
              <w:t>Medium</w:t>
            </w:r>
          </w:p>
        </w:tc>
        <w:tc>
          <w:tcPr>
            <w:tcW w:type="dxa" w:w="2131"/>
            <w:vAlign w:val="center"/>
          </w:tcPr>
          <w:p>
            <w:r>
              <w:t>Each selected domain has defined data scope, purpose, key fields, and relationships.</w:t>
            </w:r>
          </w:p>
        </w:tc>
      </w:tr>
      <w:tr>
        <w:tc>
          <w:tcPr>
            <w:tcW w:type="dxa" w:w="2131"/>
            <w:vAlign w:val="center"/>
          </w:tcPr>
          <w:p>
            <w:r>
              <w:t>BR-016</w:t>
            </w:r>
          </w:p>
        </w:tc>
        <w:tc>
          <w:tcPr>
            <w:tcW w:type="dxa" w:w="2131"/>
            <w:vAlign w:val="center"/>
          </w:tcPr>
          <w:p>
            <w:r>
              <w:t>Data-as-a-Product Documentation</w:t>
            </w:r>
          </w:p>
        </w:tc>
        <w:tc>
          <w:tcPr>
            <w:tcW w:type="dxa" w:w="2131"/>
            <w:vAlign w:val="center"/>
          </w:tcPr>
          <w:p>
            <w:r>
              <w:t>Each selected domain shall be documented as a potential data product with business purpose, key fields, quality expectations, and intended consumers.</w:t>
            </w:r>
          </w:p>
        </w:tc>
        <w:tc>
          <w:tcPr>
            <w:tcW w:type="dxa" w:w="2131"/>
            <w:vAlign w:val="center"/>
          </w:tcPr>
          <w:p>
            <w:r>
              <w:t>Medium</w:t>
            </w:r>
          </w:p>
        </w:tc>
        <w:tc>
          <w:tcPr>
            <w:tcW w:type="dxa" w:w="2131"/>
            <w:vAlign w:val="center"/>
          </w:tcPr>
          <w:p>
            <w:r>
              <w:t>The data-product document clearly defines what each domain provides and how it can be consumed.</w:t>
            </w:r>
          </w:p>
        </w:tc>
      </w:tr>
      <w:tr>
        <w:tc>
          <w:tcPr>
            <w:tcW w:type="dxa" w:w="2131"/>
            <w:vAlign w:val="center"/>
          </w:tcPr>
          <w:p>
            <w:r>
              <w:t>BR-017</w:t>
            </w:r>
          </w:p>
        </w:tc>
        <w:tc>
          <w:tcPr>
            <w:tcW w:type="dxa" w:w="2131"/>
            <w:vAlign w:val="center"/>
          </w:tcPr>
          <w:p>
            <w:r>
              <w:t>SQL Analytics</w:t>
            </w:r>
          </w:p>
        </w:tc>
        <w:tc>
          <w:tcPr>
            <w:tcW w:type="dxa" w:w="2131"/>
            <w:vAlign w:val="center"/>
          </w:tcPr>
          <w:p>
            <w:r>
              <w:t>The solution shall provide SQL queries for customer, account, loan, transaction, branch, and data-quality analysis.</w:t>
            </w:r>
          </w:p>
        </w:tc>
        <w:tc>
          <w:tcPr>
            <w:tcW w:type="dxa" w:w="2131"/>
            <w:vAlign w:val="center"/>
          </w:tcPr>
          <w:p>
            <w:r>
              <w:t>High</w:t>
            </w:r>
          </w:p>
        </w:tc>
        <w:tc>
          <w:tcPr>
            <w:tcW w:type="dxa" w:w="2131"/>
            <w:vAlign w:val="center"/>
          </w:tcPr>
          <w:p>
            <w:r>
              <w:t>SQL scripts answer the approved business questions and include relevant joins and aggregations.</w:t>
            </w:r>
          </w:p>
        </w:tc>
      </w:tr>
      <w:tr>
        <w:tc>
          <w:tcPr>
            <w:tcW w:type="dxa" w:w="2131"/>
            <w:vAlign w:val="center"/>
          </w:tcPr>
          <w:p>
            <w:r>
              <w:t>BR-018</w:t>
            </w:r>
          </w:p>
        </w:tc>
        <w:tc>
          <w:tcPr>
            <w:tcW w:type="dxa" w:w="2131"/>
            <w:vAlign w:val="center"/>
          </w:tcPr>
          <w:p>
            <w:r>
              <w:t>Business Questions</w:t>
            </w:r>
          </w:p>
        </w:tc>
        <w:tc>
          <w:tcPr>
            <w:tcW w:type="dxa" w:w="2131"/>
            <w:vAlign w:val="center"/>
          </w:tcPr>
          <w:p>
            <w:r>
              <w:t>The analytical layer shall support analysis of transaction activity/value, account types/statuses, loan status/measures, customer types, branch activity, and data-quality issues.</w:t>
            </w:r>
          </w:p>
        </w:tc>
        <w:tc>
          <w:tcPr>
            <w:tcW w:type="dxa" w:w="2131"/>
            <w:vAlign w:val="center"/>
          </w:tcPr>
          <w:p>
            <w:r>
              <w:t>High</w:t>
            </w:r>
          </w:p>
        </w:tc>
        <w:tc>
          <w:tcPr>
            <w:tcW w:type="dxa" w:w="2131"/>
            <w:vAlign w:val="center"/>
          </w:tcPr>
          <w:p>
            <w:r>
              <w:t>Each approved question has a reproducible SQL query or Power BI measure/visual.</w:t>
            </w:r>
          </w:p>
        </w:tc>
      </w:tr>
      <w:tr>
        <w:tc>
          <w:tcPr>
            <w:tcW w:type="dxa" w:w="2131"/>
            <w:vAlign w:val="center"/>
          </w:tcPr>
          <w:p>
            <w:r>
              <w:t>BR-019</w:t>
            </w:r>
          </w:p>
        </w:tc>
        <w:tc>
          <w:tcPr>
            <w:tcW w:type="dxa" w:w="2131"/>
            <w:vAlign w:val="center"/>
          </w:tcPr>
          <w:p>
            <w:r>
              <w:t>Power BI Reporting</w:t>
            </w:r>
          </w:p>
        </w:tc>
        <w:tc>
          <w:tcPr>
            <w:tcW w:type="dxa" w:w="2131"/>
            <w:vAlign w:val="center"/>
          </w:tcPr>
          <w:p>
            <w:r>
              <w:t>The solution shall provide an interactive Power BI dashboard covering relevant banking analytics and data-quality insights.</w:t>
            </w:r>
          </w:p>
        </w:tc>
        <w:tc>
          <w:tcPr>
            <w:tcW w:type="dxa" w:w="2131"/>
            <w:vAlign w:val="center"/>
          </w:tcPr>
          <w:p>
            <w:r>
              <w:t>High</w:t>
            </w:r>
          </w:p>
        </w:tc>
        <w:tc>
          <w:tcPr>
            <w:tcW w:type="dxa" w:w="2131"/>
            <w:vAlign w:val="center"/>
          </w:tcPr>
          <w:p>
            <w:r>
              <w:t>Dashboard users can view key metrics and filter relevant analytical dimensions.</w:t>
            </w:r>
          </w:p>
        </w:tc>
      </w:tr>
      <w:tr>
        <w:tc>
          <w:tcPr>
            <w:tcW w:type="dxa" w:w="2131"/>
            <w:vAlign w:val="center"/>
          </w:tcPr>
          <w:p>
            <w:r>
              <w:t>BR-020</w:t>
            </w:r>
          </w:p>
        </w:tc>
        <w:tc>
          <w:tcPr>
            <w:tcW w:type="dxa" w:w="2131"/>
            <w:vAlign w:val="center"/>
          </w:tcPr>
          <w:p>
            <w:r>
              <w:t>Business Recommendations</w:t>
            </w:r>
          </w:p>
        </w:tc>
        <w:tc>
          <w:tcPr>
            <w:tcW w:type="dxa" w:w="2131"/>
            <w:vAlign w:val="center"/>
          </w:tcPr>
          <w:p>
            <w:r>
              <w:t>The final analysis shall summarize meaningful findings and recommendations based on validated data.</w:t>
            </w:r>
          </w:p>
        </w:tc>
        <w:tc>
          <w:tcPr>
            <w:tcW w:type="dxa" w:w="2131"/>
            <w:vAlign w:val="center"/>
          </w:tcPr>
          <w:p>
            <w:r>
              <w:t>Medium</w:t>
            </w:r>
          </w:p>
        </w:tc>
        <w:tc>
          <w:tcPr>
            <w:tcW w:type="dxa" w:w="2131"/>
            <w:vAlign w:val="center"/>
          </w:tcPr>
          <w:p>
            <w:r>
              <w:t>Recommendations are explicitly linked to observed analytical findings or data-quality results.</w:t>
            </w:r>
          </w:p>
        </w:tc>
      </w:tr>
      <w:tr>
        <w:tc>
          <w:tcPr>
            <w:tcW w:type="dxa" w:w="2131"/>
            <w:vAlign w:val="center"/>
          </w:tcPr>
          <w:p>
            <w:r>
              <w:t>BR-021</w:t>
            </w:r>
          </w:p>
        </w:tc>
        <w:tc>
          <w:tcPr>
            <w:tcW w:type="dxa" w:w="2131"/>
            <w:vAlign w:val="center"/>
          </w:tcPr>
          <w:p>
            <w:r>
              <w:t>Documentation &amp; Repository</w:t>
            </w:r>
          </w:p>
        </w:tc>
        <w:tc>
          <w:tcPr>
            <w:tcW w:type="dxa" w:w="2131"/>
            <w:vAlign w:val="center"/>
          </w:tcPr>
          <w:p>
            <w:r>
              <w:t>All project artifacts shall be organized into a clear folder structure and maintained with a README describing the workflow and deliverables.</w:t>
            </w:r>
          </w:p>
        </w:tc>
        <w:tc>
          <w:tcPr>
            <w:tcW w:type="dxa" w:w="2131"/>
            <w:vAlign w:val="center"/>
          </w:tcPr>
          <w:p>
            <w:r>
              <w:t>Medium</w:t>
            </w:r>
          </w:p>
        </w:tc>
        <w:tc>
          <w:tcPr>
            <w:tcW w:type="dxa" w:w="2131"/>
            <w:vAlign w:val="center"/>
          </w:tcPr>
          <w:p>
            <w:r>
              <w:t>A reviewer can locate raw data, mappings, metadata, lineage, quality, ETL, SQL, Data Mesh, and Power BI artifacts.</w:t>
            </w:r>
          </w:p>
        </w:tc>
      </w:tr>
    </w:tbl>
    <w:p>
      <w:pPr>
        <w:spacing w:before="140" w:after="60"/>
      </w:pPr>
      <w:r>
        <w:rPr>
          <w:b/>
          <w:sz w:val="23"/>
        </w:rPr>
        <w:t>5. Data Quality Requirements</w:t>
      </w:r>
    </w:p>
    <w:p>
      <w:pPr>
        <w:pStyle w:val="ListBullet"/>
        <w:spacing w:after="30"/>
      </w:pPr>
      <w:r>
        <w:t>DQ-001 — Missing Values: Profile null/missing values in each source table and identify fields requiring treatment.</w:t>
      </w:r>
    </w:p>
    <w:p>
      <w:pPr>
        <w:pStyle w:val="ListBullet"/>
        <w:spacing w:after="30"/>
      </w:pPr>
      <w:r>
        <w:t>DQ-002 — Duplicates: Detect duplicate records and document the treatment rule.</w:t>
      </w:r>
    </w:p>
    <w:p>
      <w:pPr>
        <w:pStyle w:val="ListBullet"/>
        <w:spacing w:after="30"/>
      </w:pPr>
      <w:r>
        <w:t>DQ-003 — Format Consistency: Standardize supported date, numeric, and text formats.</w:t>
      </w:r>
    </w:p>
    <w:p>
      <w:pPr>
        <w:pStyle w:val="ListBullet"/>
        <w:spacing w:after="30"/>
      </w:pPr>
      <w:r>
        <w:t>DQ-004 — Referential Integrity: Validate foreign-key-like relationships against the supplied reference/master tables.</w:t>
      </w:r>
    </w:p>
    <w:p>
      <w:pPr>
        <w:pStyle w:val="ListBullet"/>
        <w:spacing w:after="30"/>
      </w:pPr>
      <w:r>
        <w:t>DQ-005 — Future Dates: Identify future dates where they are not expected and flag them for review.</w:t>
      </w:r>
    </w:p>
    <w:p>
      <w:pPr>
        <w:pStyle w:val="ListBullet"/>
        <w:spacing w:after="30"/>
      </w:pPr>
      <w:r>
        <w:t>DQ-006 — ID Integrity: Identify non-sequential or anomalous identifiers without assuming that every non-sequential ID is invalid.</w:t>
      </w:r>
    </w:p>
    <w:p>
      <w:pPr>
        <w:pStyle w:val="ListBullet"/>
        <w:spacing w:after="30"/>
      </w:pPr>
      <w:r>
        <w:t>DQ-007 — Auditability: Preserve source-to-target traceability for transformations and exceptions.</w:t>
      </w:r>
    </w:p>
    <w:p>
      <w:pPr>
        <w:spacing w:before="140" w:after="60"/>
      </w:pPr>
      <w:r>
        <w:rPr>
          <w:b/>
          <w:sz w:val="23"/>
        </w:rPr>
        <w:t>6. Functional Analytics Requirements</w:t>
      </w:r>
    </w:p>
    <w:p>
      <w:pPr>
        <w:pStyle w:val="ListBullet"/>
        <w:spacing w:after="30"/>
      </w:pPr>
      <w:r>
        <w:t>FA-001 — Customer analysis shall support customer type and address/location attributes.</w:t>
      </w:r>
    </w:p>
    <w:p>
      <w:pPr>
        <w:pStyle w:val="ListBullet"/>
        <w:spacing w:after="30"/>
      </w:pPr>
      <w:r>
        <w:t>FA-002 — Account analysis shall support account type, account status, customer relationship, and balance-related analysis where fields are available.</w:t>
      </w:r>
    </w:p>
    <w:p>
      <w:pPr>
        <w:pStyle w:val="ListBullet"/>
        <w:spacing w:after="30"/>
      </w:pPr>
      <w:r>
        <w:t>FA-003 — Loan analysis shall support loan status, principal amount, interest rate, and date-related analysis.</w:t>
      </w:r>
    </w:p>
    <w:p>
      <w:pPr>
        <w:pStyle w:val="ListBullet"/>
        <w:spacing w:after="30"/>
      </w:pPr>
      <w:r>
        <w:t>FA-004 — Transaction analysis shall support transaction type, amount, date, branch, origin account, and destination account analysis.</w:t>
      </w:r>
    </w:p>
    <w:p>
      <w:pPr>
        <w:pStyle w:val="ListBullet"/>
        <w:spacing w:after="30"/>
      </w:pPr>
      <w:r>
        <w:t>FA-005 — Branch analysis shall support transaction activity by branch and available location attributes.</w:t>
      </w:r>
    </w:p>
    <w:p>
      <w:pPr>
        <w:pStyle w:val="ListBullet"/>
        <w:spacing w:after="30"/>
      </w:pPr>
      <w:r>
        <w:t>FA-006 — Data-quality analysis shall show the number and type of detected issues by table/field.</w:t>
      </w:r>
    </w:p>
    <w:p>
      <w:pPr>
        <w:spacing w:before="140" w:after="60"/>
      </w:pPr>
      <w:r>
        <w:rPr>
          <w:b/>
          <w:sz w:val="23"/>
        </w:rPr>
        <w:t>7. Technical / Implementation Requirements</w:t>
      </w:r>
    </w:p>
    <w:p>
      <w:pPr>
        <w:pStyle w:val="ListBullet"/>
        <w:spacing w:after="30"/>
      </w:pPr>
      <w:r>
        <w:t>Python/Pandas shall be used for data profiling, cleaning, transformation, validation, and ETL activities.</w:t>
      </w:r>
    </w:p>
    <w:p>
      <w:pPr>
        <w:pStyle w:val="ListBullet"/>
        <w:spacing w:after="30"/>
      </w:pPr>
      <w:r>
        <w:t>MySQL shall be used as the relational analytical database layer for the portfolio implementation.</w:t>
      </w:r>
    </w:p>
    <w:p>
      <w:pPr>
        <w:pStyle w:val="ListBullet"/>
        <w:spacing w:after="30"/>
      </w:pPr>
      <w:r>
        <w:t>SQL shall be used for joins, validation, aggregations, analytical queries, and selected logical views.</w:t>
      </w:r>
    </w:p>
    <w:p>
      <w:pPr>
        <w:pStyle w:val="ListBullet"/>
        <w:spacing w:after="30"/>
      </w:pPr>
      <w:r>
        <w:t>Excel shall be used for structured mapping, metadata, lineage, and data-quality documentation where appropriate.</w:t>
      </w:r>
    </w:p>
    <w:p>
      <w:pPr>
        <w:pStyle w:val="ListBullet"/>
        <w:spacing w:after="30"/>
      </w:pPr>
      <w:r>
        <w:t>Power BI shall be used for interactive visualization and reporting.</w:t>
      </w:r>
    </w:p>
    <w:p>
      <w:pPr>
        <w:pStyle w:val="ListBullet"/>
        <w:spacing w:after="30"/>
      </w:pPr>
      <w:r>
        <w:t>All transformation and validation logic shall be documented so that the workflow is reproducible.</w:t>
      </w:r>
    </w:p>
    <w:p>
      <w:pPr>
        <w:spacing w:before="140" w:after="60"/>
      </w:pPr>
      <w:r>
        <w:rPr>
          <w:b/>
          <w:sz w:val="23"/>
        </w:rPr>
        <w:t>8. Non-Functional Requirements</w:t>
      </w:r>
    </w:p>
    <w:p>
      <w:pPr>
        <w:pStyle w:val="ListBullet"/>
        <w:spacing w:after="30"/>
      </w:pPr>
      <w:r>
        <w:t>NFR-001 — Traceability: Key analytical fields should be traceable from source to target/output.</w:t>
      </w:r>
    </w:p>
    <w:p>
      <w:pPr>
        <w:pStyle w:val="ListBullet"/>
        <w:spacing w:after="30"/>
      </w:pPr>
      <w:r>
        <w:t>NFR-002 — Reproducibility: ETL and SQL steps should be rerunnable on the supplied dataset.</w:t>
      </w:r>
    </w:p>
    <w:p>
      <w:pPr>
        <w:pStyle w:val="ListBullet"/>
        <w:spacing w:after="30"/>
      </w:pPr>
      <w:r>
        <w:t>NFR-003 — Documentation: Project artifacts shall use consistent names, definitions, and folder organization.</w:t>
      </w:r>
    </w:p>
    <w:p>
      <w:pPr>
        <w:pStyle w:val="ListBullet"/>
        <w:spacing w:after="30"/>
      </w:pPr>
      <w:r>
        <w:t>NFR-004 — Data Integrity: Cleaning shall not introduce unexplained record loss or duplicate creation.</w:t>
      </w:r>
    </w:p>
    <w:p>
      <w:pPr>
        <w:pStyle w:val="ListBullet"/>
        <w:spacing w:after="30"/>
      </w:pPr>
      <w:r>
        <w:t>NFR-005 — Clarity: Dashboard labels and documented business definitions shall be understandable to a business stakeholder.</w:t>
      </w:r>
    </w:p>
    <w:p>
      <w:pPr>
        <w:spacing w:before="140" w:after="60"/>
      </w:pPr>
      <w:r>
        <w:rPr>
          <w:b/>
          <w:sz w:val="23"/>
        </w:rPr>
        <w:t>9. Out of Scope</w:t>
      </w:r>
    </w:p>
    <w:p>
      <w:pPr>
        <w:pStyle w:val="ListBullet"/>
        <w:spacing w:after="30"/>
      </w:pPr>
      <w:r>
        <w:t>Production banking deployment or connection to a live banking system.</w:t>
      </w:r>
    </w:p>
    <w:p>
      <w:pPr>
        <w:pStyle w:val="ListBullet"/>
        <w:spacing w:after="30"/>
      </w:pPr>
      <w:r>
        <w:t>Real customer or personally identifiable banking data.</w:t>
      </w:r>
    </w:p>
    <w:p>
      <w:pPr>
        <w:pStyle w:val="ListBullet"/>
        <w:spacing w:after="30"/>
      </w:pPr>
      <w:r>
        <w:t>Enterprise implementation of a commercial data-virtualization or metadata-management platform.</w:t>
      </w:r>
    </w:p>
    <w:p>
      <w:pPr>
        <w:pStyle w:val="ListBullet"/>
        <w:spacing w:after="30"/>
      </w:pPr>
      <w:r>
        <w:t>A production-grade fraud detection or credit-risk machine-learning model; these may be future extensions.</w:t>
      </w:r>
    </w:p>
    <w:p>
      <w:pPr>
        <w:pStyle w:val="ListBullet"/>
        <w:spacing w:after="30"/>
      </w:pPr>
      <w:r>
        <w:t>Formal regulatory certification or enterprise governance approval.</w:t>
      </w:r>
    </w:p>
    <w:p>
      <w:pPr>
        <w:spacing w:before="140" w:after="60"/>
      </w:pPr>
      <w:r>
        <w:rPr>
          <w:b/>
          <w:sz w:val="23"/>
        </w:rPr>
        <w:t>10. Requirement-to-Deliverable Traceability</w:t>
      </w:r>
    </w:p>
    <w:tbl>
      <w:tblPr>
        <w:tblStyle w:val="TableGrid"/>
        <w:tblW w:type="auto" w:w="0"/>
        <w:tblLook w:firstColumn="1" w:firstRow="1" w:lastColumn="0" w:lastRow="0" w:noHBand="0" w:noVBand="1" w:val="04A0"/>
      </w:tblPr>
      <w:tblGrid>
        <w:gridCol w:w="3552"/>
        <w:gridCol w:w="3552"/>
        <w:gridCol w:w="3552"/>
      </w:tblGrid>
      <w:tr>
        <w:tc>
          <w:tcPr>
            <w:tcW w:type="dxa" w:w="3552"/>
          </w:tcPr>
          <w:p>
            <w:r>
              <w:t>Requirement Area</w:t>
            </w:r>
          </w:p>
        </w:tc>
        <w:tc>
          <w:tcPr>
            <w:tcW w:type="dxa" w:w="3552"/>
          </w:tcPr>
          <w:p>
            <w:r>
              <w:t>Primary Deliverable</w:t>
            </w:r>
          </w:p>
        </w:tc>
        <w:tc>
          <w:tcPr>
            <w:tcW w:type="dxa" w:w="3552"/>
          </w:tcPr>
          <w:p>
            <w:r>
              <w:t>Folder</w:t>
            </w:r>
          </w:p>
        </w:tc>
      </w:tr>
      <w:tr>
        <w:tc>
          <w:tcPr>
            <w:tcW w:type="dxa" w:w="3552"/>
          </w:tcPr>
          <w:p>
            <w:r>
              <w:t>Business context &amp; requirements</w:t>
            </w:r>
          </w:p>
        </w:tc>
        <w:tc>
          <w:tcPr>
            <w:tcW w:type="dxa" w:w="3552"/>
          </w:tcPr>
          <w:p>
            <w:r>
              <w:t>Business Problem Statement + BRD</w:t>
            </w:r>
          </w:p>
        </w:tc>
        <w:tc>
          <w:tcPr>
            <w:tcW w:type="dxa" w:w="3552"/>
          </w:tcPr>
          <w:p>
            <w:r>
              <w:t>01_Business_Documentation</w:t>
            </w:r>
          </w:p>
        </w:tc>
      </w:tr>
      <w:tr>
        <w:tc>
          <w:tcPr>
            <w:tcW w:type="dxa" w:w="3552"/>
          </w:tcPr>
          <w:p>
            <w:r>
              <w:t>Raw source inventory</w:t>
            </w:r>
          </w:p>
        </w:tc>
        <w:tc>
          <w:tcPr>
            <w:tcW w:type="dxa" w:w="3552"/>
          </w:tcPr>
          <w:p>
            <w:r>
              <w:t>CSV files + README</w:t>
            </w:r>
          </w:p>
        </w:tc>
        <w:tc>
          <w:tcPr>
            <w:tcW w:type="dxa" w:w="3552"/>
          </w:tcPr>
          <w:p>
            <w:r>
              <w:t>02_Raw_Data</w:t>
            </w:r>
          </w:p>
        </w:tc>
      </w:tr>
      <w:tr>
        <w:tc>
          <w:tcPr>
            <w:tcW w:type="dxa" w:w="3552"/>
          </w:tcPr>
          <w:p>
            <w:r>
              <w:t>Source-to-target integration</w:t>
            </w:r>
          </w:p>
        </w:tc>
        <w:tc>
          <w:tcPr>
            <w:tcW w:type="dxa" w:w="3552"/>
          </w:tcPr>
          <w:p>
            <w:r>
              <w:t>Source-to-Target Mapping.xlsx</w:t>
            </w:r>
          </w:p>
        </w:tc>
        <w:tc>
          <w:tcPr>
            <w:tcW w:type="dxa" w:w="3552"/>
          </w:tcPr>
          <w:p>
            <w:r>
              <w:t>03_Data_Mapping</w:t>
            </w:r>
          </w:p>
        </w:tc>
      </w:tr>
      <w:tr>
        <w:tc>
          <w:tcPr>
            <w:tcW w:type="dxa" w:w="3552"/>
          </w:tcPr>
          <w:p>
            <w:r>
              <w:t>Metadata</w:t>
            </w:r>
          </w:p>
        </w:tc>
        <w:tc>
          <w:tcPr>
            <w:tcW w:type="dxa" w:w="3552"/>
          </w:tcPr>
          <w:p>
            <w:r>
              <w:t>Data_Dictionary_Metadata.xlsx</w:t>
            </w:r>
          </w:p>
        </w:tc>
        <w:tc>
          <w:tcPr>
            <w:tcW w:type="dxa" w:w="3552"/>
          </w:tcPr>
          <w:p>
            <w:r>
              <w:t>04_Metadata</w:t>
            </w:r>
          </w:p>
        </w:tc>
      </w:tr>
      <w:tr>
        <w:tc>
          <w:tcPr>
            <w:tcW w:type="dxa" w:w="3552"/>
          </w:tcPr>
          <w:p>
            <w:r>
              <w:t>Lineage</w:t>
            </w:r>
          </w:p>
        </w:tc>
        <w:tc>
          <w:tcPr>
            <w:tcW w:type="dxa" w:w="3552"/>
          </w:tcPr>
          <w:p>
            <w:r>
              <w:t>Data_Lineage.xlsx</w:t>
            </w:r>
          </w:p>
        </w:tc>
        <w:tc>
          <w:tcPr>
            <w:tcW w:type="dxa" w:w="3552"/>
          </w:tcPr>
          <w:p>
            <w:r>
              <w:t>05_Data_Lineage</w:t>
            </w:r>
          </w:p>
        </w:tc>
      </w:tr>
      <w:tr>
        <w:tc>
          <w:tcPr>
            <w:tcW w:type="dxa" w:w="3552"/>
          </w:tcPr>
          <w:p>
            <w:r>
              <w:t>Data quality</w:t>
            </w:r>
          </w:p>
        </w:tc>
        <w:tc>
          <w:tcPr>
            <w:tcW w:type="dxa" w:w="3552"/>
          </w:tcPr>
          <w:p>
            <w:r>
              <w:t>Data_Quality_Assessment.xlsx</w:t>
            </w:r>
          </w:p>
        </w:tc>
        <w:tc>
          <w:tcPr>
            <w:tcW w:type="dxa" w:w="3552"/>
          </w:tcPr>
          <w:p>
            <w:r>
              <w:t>06_Data_Quality</w:t>
            </w:r>
          </w:p>
        </w:tc>
      </w:tr>
      <w:tr>
        <w:tc>
          <w:tcPr>
            <w:tcW w:type="dxa" w:w="3552"/>
          </w:tcPr>
          <w:p>
            <w:r>
              <w:t>ETL</w:t>
            </w:r>
          </w:p>
        </w:tc>
        <w:tc>
          <w:tcPr>
            <w:tcW w:type="dxa" w:w="3552"/>
          </w:tcPr>
          <w:p>
            <w:r>
              <w:t>Python scripts/notebooks</w:t>
            </w:r>
          </w:p>
        </w:tc>
        <w:tc>
          <w:tcPr>
            <w:tcW w:type="dxa" w:w="3552"/>
          </w:tcPr>
          <w:p>
            <w:r>
              <w:t>07_ETL</w:t>
            </w:r>
          </w:p>
        </w:tc>
      </w:tr>
      <w:tr>
        <w:tc>
          <w:tcPr>
            <w:tcW w:type="dxa" w:w="3552"/>
          </w:tcPr>
          <w:p>
            <w:r>
              <w:t>SQL analytics</w:t>
            </w:r>
          </w:p>
        </w:tc>
        <w:tc>
          <w:tcPr>
            <w:tcW w:type="dxa" w:w="3552"/>
          </w:tcPr>
          <w:p>
            <w:r>
              <w:t>Schema, validation, analysis scripts</w:t>
            </w:r>
          </w:p>
        </w:tc>
        <w:tc>
          <w:tcPr>
            <w:tcW w:type="dxa" w:w="3552"/>
          </w:tcPr>
          <w:p>
            <w:r>
              <w:t>08_SQL</w:t>
            </w:r>
          </w:p>
        </w:tc>
      </w:tr>
      <w:tr>
        <w:tc>
          <w:tcPr>
            <w:tcW w:type="dxa" w:w="3552"/>
          </w:tcPr>
          <w:p>
            <w:r>
              <w:t>Data Mesh / Data Products</w:t>
            </w:r>
          </w:p>
        </w:tc>
        <w:tc>
          <w:tcPr>
            <w:tcW w:type="dxa" w:w="3552"/>
          </w:tcPr>
          <w:p>
            <w:r>
              <w:t>Domain &amp; data-product documentation</w:t>
            </w:r>
          </w:p>
        </w:tc>
        <w:tc>
          <w:tcPr>
            <w:tcW w:type="dxa" w:w="3552"/>
          </w:tcPr>
          <w:p>
            <w:r>
              <w:t>09_Data_Mesh</w:t>
            </w:r>
          </w:p>
        </w:tc>
      </w:tr>
      <w:tr>
        <w:tc>
          <w:tcPr>
            <w:tcW w:type="dxa" w:w="3552"/>
          </w:tcPr>
          <w:p>
            <w:r>
              <w:t>BI reporting</w:t>
            </w:r>
          </w:p>
        </w:tc>
        <w:tc>
          <w:tcPr>
            <w:tcW w:type="dxa" w:w="3552"/>
          </w:tcPr>
          <w:p>
            <w:r>
              <w:t>Power BI .pbix + supporting assets</w:t>
            </w:r>
          </w:p>
        </w:tc>
        <w:tc>
          <w:tcPr>
            <w:tcW w:type="dxa" w:w="3552"/>
          </w:tcPr>
          <w:p>
            <w:r>
              <w:t>10_PowerBI</w:t>
            </w:r>
          </w:p>
        </w:tc>
      </w:tr>
    </w:tbl>
    <w:p>
      <w:pPr>
        <w:spacing w:before="140" w:after="60"/>
      </w:pPr>
      <w:r>
        <w:rPr>
          <w:b/>
          <w:sz w:val="23"/>
        </w:rPr>
        <w:t>11. Assumptions &amp; Source Limitations</w:t>
      </w:r>
    </w:p>
    <w:p>
      <w:pPr>
        <w:spacing w:after="80"/>
      </w:pPr>
      <w:r>
        <w:t>The README is the authoritative supplied description of the dataset structure and documented anomaly categories. The detailed implementation rules, target schema, SQL views, data-product definitions, and dashboard design are project requirements proposed from the Business Problem Statement; they are not claimed to be part of an existing banking system. Any field-level rule that depends on a column not present in the supplied files will be finalized after the complete source schema is loaded.</w:t>
      </w:r>
    </w:p>
    <w:p>
      <w:pPr>
        <w:spacing w:before="140" w:after="60"/>
      </w:pPr>
      <w:r>
        <w:rPr>
          <w:b/>
          <w:sz w:val="23"/>
        </w:rPr>
        <w:t>12. Approval / Review Checklist</w:t>
      </w:r>
    </w:p>
    <w:p>
      <w:pPr>
        <w:pStyle w:val="ListBullet"/>
        <w:spacing w:after="30"/>
      </w:pPr>
      <w:r>
        <w:t>☐ Business requirements reviewed</w:t>
      </w:r>
    </w:p>
    <w:p>
      <w:pPr>
        <w:pStyle w:val="ListBullet"/>
        <w:spacing w:after="30"/>
      </w:pPr>
      <w:r>
        <w:t>☐ Data sources confirmed</w:t>
      </w:r>
    </w:p>
    <w:p>
      <w:pPr>
        <w:pStyle w:val="ListBullet"/>
        <w:spacing w:after="30"/>
      </w:pPr>
      <w:r>
        <w:t>☐ Data-quality requirements confirmed</w:t>
      </w:r>
    </w:p>
    <w:p>
      <w:pPr>
        <w:pStyle w:val="ListBullet"/>
        <w:spacing w:after="30"/>
      </w:pPr>
      <w:r>
        <w:t>☐ S2T mapping ready for development</w:t>
      </w:r>
    </w:p>
    <w:p>
      <w:pPr>
        <w:pStyle w:val="ListBullet"/>
        <w:spacing w:after="30"/>
      </w:pPr>
      <w:r>
        <w:t>☐ Metadata and lineage requirements confirmed</w:t>
      </w:r>
    </w:p>
    <w:p>
      <w:pPr>
        <w:pStyle w:val="ListBullet"/>
        <w:spacing w:after="30"/>
      </w:pPr>
      <w:r>
        <w:t>☐ SQL and Power BI requirements confirmed</w:t>
      </w:r>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Banking Data Integration &amp; Analytics Platform | Business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