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B631" w14:textId="569848A4" w:rsidR="00377EE1" w:rsidRDefault="00377EE1"/>
    <w:tbl>
      <w:tblPr>
        <w:tblW w:w="21366" w:type="dxa"/>
        <w:tblLook w:val="04A0" w:firstRow="1" w:lastRow="0" w:firstColumn="1" w:lastColumn="0" w:noHBand="0" w:noVBand="1"/>
      </w:tblPr>
      <w:tblGrid>
        <w:gridCol w:w="589"/>
        <w:gridCol w:w="2700"/>
        <w:gridCol w:w="2981"/>
        <w:gridCol w:w="2199"/>
        <w:gridCol w:w="1120"/>
        <w:gridCol w:w="4537"/>
        <w:gridCol w:w="44"/>
        <w:gridCol w:w="1756"/>
        <w:gridCol w:w="1780"/>
        <w:gridCol w:w="1800"/>
        <w:gridCol w:w="1860"/>
      </w:tblGrid>
      <w:tr w:rsidR="00C756F8" w:rsidRPr="00C756F8" w14:paraId="7547D617" w14:textId="77777777" w:rsidTr="008F1237">
        <w:trPr>
          <w:trHeight w:val="139"/>
        </w:trPr>
        <w:tc>
          <w:tcPr>
            <w:tcW w:w="141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5374CDA" w14:textId="02E998D1" w:rsidR="00C756F8" w:rsidRPr="00C756F8" w:rsidRDefault="00827270" w:rsidP="00827270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2060"/>
                <w:sz w:val="14"/>
                <w:szCs w:val="14"/>
                <w:lang w:eastAsia="en-GB"/>
              </w:rPr>
            </w:pPr>
            <w:r w:rsidRPr="00827270">
              <w:rPr>
                <w:sz w:val="21"/>
                <w:szCs w:val="21"/>
              </w:rPr>
              <w:t>SLB Chennai SEZ Commercials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39C2" w14:textId="77777777" w:rsidR="00C756F8" w:rsidRPr="00C756F8" w:rsidRDefault="00C756F8" w:rsidP="00C756F8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2060"/>
                <w:sz w:val="14"/>
                <w:szCs w:val="14"/>
                <w:lang w:eastAsia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0BD57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C81BA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9B595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56F8" w:rsidRPr="00C756F8" w14:paraId="473359EC" w14:textId="77777777" w:rsidTr="008F1237">
        <w:trPr>
          <w:trHeight w:val="260"/>
        </w:trPr>
        <w:tc>
          <w:tcPr>
            <w:tcW w:w="141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14:paraId="5FED1CB3" w14:textId="77777777" w:rsidR="00C756F8" w:rsidRPr="00C756F8" w:rsidRDefault="00C756F8" w:rsidP="00C756F8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  <w:t xml:space="preserve">INBOUND TO FTWZ 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2F20B" w14:textId="77777777" w:rsidR="00C756F8" w:rsidRPr="00C756F8" w:rsidRDefault="00C756F8" w:rsidP="00C756F8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62DE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9B471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C2C11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56F8" w:rsidRPr="00C756F8" w14:paraId="23DD00B9" w14:textId="77777777" w:rsidTr="008F1237">
        <w:trPr>
          <w:trHeight w:val="303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ADB"/>
            <w:vAlign w:val="center"/>
            <w:hideMark/>
          </w:tcPr>
          <w:p w14:paraId="180D9318" w14:textId="77777777" w:rsidR="00C756F8" w:rsidRPr="00C756F8" w:rsidRDefault="00C756F8" w:rsidP="00C756F8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  <w:t>Sl. No.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ADB"/>
            <w:vAlign w:val="center"/>
            <w:hideMark/>
          </w:tcPr>
          <w:p w14:paraId="5BD0C9D2" w14:textId="77777777" w:rsidR="00C756F8" w:rsidRPr="00C756F8" w:rsidRDefault="00C756F8" w:rsidP="00C756F8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  <w:t>Description Of Activities</w:t>
            </w:r>
          </w:p>
        </w:tc>
        <w:tc>
          <w:tcPr>
            <w:tcW w:w="51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ADB"/>
            <w:vAlign w:val="center"/>
            <w:hideMark/>
          </w:tcPr>
          <w:p w14:paraId="73DB6FC7" w14:textId="77777777" w:rsidR="00C756F8" w:rsidRPr="00C756F8" w:rsidRDefault="00C756F8" w:rsidP="00C756F8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  <w:t>Remarks (Scope of activities)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ADB"/>
            <w:vAlign w:val="center"/>
            <w:hideMark/>
          </w:tcPr>
          <w:p w14:paraId="445C141D" w14:textId="77777777" w:rsidR="00C756F8" w:rsidRPr="00C756F8" w:rsidRDefault="00C756F8" w:rsidP="00C756F8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  <w:t>Charges in INR</w:t>
            </w:r>
          </w:p>
        </w:tc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ADB"/>
            <w:vAlign w:val="center"/>
            <w:hideMark/>
          </w:tcPr>
          <w:p w14:paraId="1B7C68E4" w14:textId="77777777" w:rsidR="00C756F8" w:rsidRPr="00C756F8" w:rsidRDefault="00C756F8" w:rsidP="00C756F8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  <w:t>Type of Shipment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0A9D4" w14:textId="77777777" w:rsidR="00C756F8" w:rsidRPr="00C756F8" w:rsidRDefault="00C756F8" w:rsidP="00C756F8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FE9ED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E26FA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A24A7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56F8" w:rsidRPr="00C756F8" w14:paraId="3D1398F5" w14:textId="77777777" w:rsidTr="008F1237">
        <w:trPr>
          <w:trHeight w:val="260"/>
        </w:trPr>
        <w:tc>
          <w:tcPr>
            <w:tcW w:w="5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17BF7" w14:textId="77777777" w:rsidR="00C756F8" w:rsidRPr="00C756F8" w:rsidRDefault="00C756F8" w:rsidP="00C756F8">
            <w:pPr>
              <w:jc w:val="center"/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1</w:t>
            </w:r>
          </w:p>
        </w:tc>
        <w:tc>
          <w:tcPr>
            <w:tcW w:w="2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DACDD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  <w:t>Inbound- FC TO FTWZ</w:t>
            </w:r>
          </w:p>
        </w:tc>
        <w:tc>
          <w:tcPr>
            <w:tcW w:w="518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3DCD771F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Inbound clearance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5FBC21" w14:textId="37FCDE98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C0E5A1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LCL Shipment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60856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A395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26AE3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B658D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56F8" w:rsidRPr="00C756F8" w14:paraId="236264E9" w14:textId="77777777" w:rsidTr="008F1237">
        <w:trPr>
          <w:trHeight w:val="245"/>
        </w:trPr>
        <w:tc>
          <w:tcPr>
            <w:tcW w:w="5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FB477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AFB52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51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283435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67B0AA" w14:textId="7AF44DF3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F15AAD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Air Shipment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06E6C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8FB54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E940A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22B41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56F8" w:rsidRPr="00C756F8" w14:paraId="28F52FDD" w14:textId="77777777" w:rsidTr="008F1237">
        <w:trPr>
          <w:trHeight w:val="260"/>
        </w:trPr>
        <w:tc>
          <w:tcPr>
            <w:tcW w:w="5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601B5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C4609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51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579378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C15863" w14:textId="095F503A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686FC3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20ft Container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3C40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08E7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A571A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C6616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56F8" w:rsidRPr="00C756F8" w14:paraId="553F4EE0" w14:textId="77777777" w:rsidTr="008F1237">
        <w:trPr>
          <w:trHeight w:val="260"/>
        </w:trPr>
        <w:tc>
          <w:tcPr>
            <w:tcW w:w="5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9EAE7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593E9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51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380C04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31BC09" w14:textId="289578BE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078328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40ft Container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F5FDD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D5BF4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D8218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4C67B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56F8" w:rsidRPr="00C756F8" w14:paraId="5836F261" w14:textId="77777777" w:rsidTr="008F1237">
        <w:trPr>
          <w:trHeight w:val="284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1BA51" w14:textId="77777777" w:rsidR="00C756F8" w:rsidRPr="00C756F8" w:rsidRDefault="00C756F8" w:rsidP="00C756F8">
            <w:pPr>
              <w:jc w:val="center"/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5B88D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  <w:t xml:space="preserve">Inbound DTA to FTWZ </w:t>
            </w:r>
          </w:p>
        </w:tc>
        <w:tc>
          <w:tcPr>
            <w:tcW w:w="51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5CE44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Inbound clearance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D6E6C3" w14:textId="0945E94B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5F9B70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 xml:space="preserve">Per Invoice / Bill of Export /Truck </w:t>
            </w: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br/>
              <w:t>(whichever is higher for DTA to FTWZ)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ACDF0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B3724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F60CF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19B12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56F8" w:rsidRPr="00C756F8" w14:paraId="388C1595" w14:textId="77777777" w:rsidTr="008F1237">
        <w:trPr>
          <w:trHeight w:val="219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D6235" w14:textId="77777777" w:rsidR="00C756F8" w:rsidRPr="00C756F8" w:rsidRDefault="00C756F8" w:rsidP="00C756F8">
            <w:pPr>
              <w:jc w:val="center"/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AD6577" w14:textId="77777777" w:rsidR="00C756F8" w:rsidRPr="00C756F8" w:rsidRDefault="00C756F8" w:rsidP="00C756F8">
            <w:pPr>
              <w:rPr>
                <w:rFonts w:ascii="Bookman Old Style" w:eastAsia="Times New Roman" w:hAnsi="Bookman Old Style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man Old Style" w:eastAsia="Times New Roman" w:hAnsi="Bookman Old Style" w:cs="Calibri"/>
                <w:color w:val="000000"/>
                <w:sz w:val="14"/>
                <w:szCs w:val="14"/>
                <w:lang w:eastAsia="en-GB"/>
              </w:rPr>
              <w:t>Intra SEZ Unit Transfer</w:t>
            </w:r>
          </w:p>
        </w:tc>
        <w:tc>
          <w:tcPr>
            <w:tcW w:w="51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A7ABF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Inbound clearance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E3B62B" w14:textId="5A1394AC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D08615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Per Invoice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4B423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F7AC1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5285C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40FD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56F8" w:rsidRPr="00C756F8" w14:paraId="3D3906C9" w14:textId="77777777" w:rsidTr="008F1237">
        <w:trPr>
          <w:trHeight w:val="122"/>
        </w:trPr>
        <w:tc>
          <w:tcPr>
            <w:tcW w:w="5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4CFA4" w14:textId="77777777" w:rsidR="00C756F8" w:rsidRPr="00C756F8" w:rsidRDefault="00C756F8" w:rsidP="00C756F8">
            <w:pPr>
              <w:jc w:val="center"/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5</w:t>
            </w:r>
          </w:p>
        </w:tc>
        <w:tc>
          <w:tcPr>
            <w:tcW w:w="2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EB09A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  <w:t>Chennai Port to FTWZ (Inbound transportation)</w:t>
            </w:r>
          </w:p>
        </w:tc>
        <w:tc>
          <w:tcPr>
            <w:tcW w:w="518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9DEAE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Transportation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0B824" w14:textId="3C3B6DB1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50B88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LCL /Air- MCV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1AB3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52B00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FA75F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4B178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56F8" w:rsidRPr="00C756F8" w14:paraId="254F2A50" w14:textId="77777777" w:rsidTr="008F1237">
        <w:trPr>
          <w:trHeight w:val="396"/>
        </w:trPr>
        <w:tc>
          <w:tcPr>
            <w:tcW w:w="5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61DB7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EE75E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51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F04F2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DA53B" w14:textId="4EEBE5A8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98C93C" w14:textId="593AD84D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20ft Container (</w:t>
            </w:r>
            <w:r w:rsidR="00827270"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Up to</w:t>
            </w: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 xml:space="preserve"> 22 Tons). Higher than 22MT rate would be charged </w:t>
            </w:r>
            <w:r w:rsidR="00827270"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proportionately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E5ED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D9ADA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A6A72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27BAC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56F8" w:rsidRPr="00C756F8" w14:paraId="0414DE92" w14:textId="77777777" w:rsidTr="008F1237">
        <w:trPr>
          <w:trHeight w:val="258"/>
        </w:trPr>
        <w:tc>
          <w:tcPr>
            <w:tcW w:w="5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6F4B5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6C60E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51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8DC0D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EDE2E" w14:textId="4AD64D60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1E3D23" w14:textId="1FB14054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40ft Container (</w:t>
            </w:r>
            <w:r w:rsidR="00827270"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Up to</w:t>
            </w: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 xml:space="preserve"> 24 Tons). Higher than 24MT rate would be charged </w:t>
            </w:r>
            <w:r w:rsidR="00827270"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proportionately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C4AEC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30617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D8FB2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9CDF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56F8" w:rsidRPr="00C756F8" w14:paraId="720A640C" w14:textId="77777777" w:rsidTr="008F1237">
        <w:trPr>
          <w:trHeight w:val="260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B4C6D" w14:textId="77777777" w:rsidR="00C756F8" w:rsidRPr="00C756F8" w:rsidRDefault="00C756F8" w:rsidP="00C756F8">
            <w:pPr>
              <w:jc w:val="center"/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 </w:t>
            </w:r>
          </w:p>
        </w:tc>
        <w:tc>
          <w:tcPr>
            <w:tcW w:w="135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6E0B4"/>
            <w:vAlign w:val="center"/>
            <w:hideMark/>
          </w:tcPr>
          <w:p w14:paraId="599FACB7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  <w:t>* Low Bed Trailers / Or Any special Trailers shall be Quoted Case to Case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1CE62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760A5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341A8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87D9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56F8" w:rsidRPr="00C756F8" w14:paraId="49D23907" w14:textId="77777777" w:rsidTr="008F1237">
        <w:trPr>
          <w:trHeight w:val="260"/>
        </w:trPr>
        <w:tc>
          <w:tcPr>
            <w:tcW w:w="5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D26DC" w14:textId="77777777" w:rsidR="00C756F8" w:rsidRPr="00C756F8" w:rsidRDefault="00C756F8" w:rsidP="00C756F8">
            <w:pPr>
              <w:jc w:val="center"/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6</w:t>
            </w:r>
          </w:p>
        </w:tc>
        <w:tc>
          <w:tcPr>
            <w:tcW w:w="2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87B31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 xml:space="preserve"> Inbound Handling charges (Non-ODC)</w:t>
            </w:r>
          </w:p>
        </w:tc>
        <w:tc>
          <w:tcPr>
            <w:tcW w:w="518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B0C9F" w14:textId="2F604048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Handling per vehicle or BOE whichever is higher.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0197D" w14:textId="1A633292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DE8F33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LCL / Air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8799D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E2699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B75A6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D58BD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56F8" w:rsidRPr="00C756F8" w14:paraId="7217594E" w14:textId="77777777" w:rsidTr="008F1237">
        <w:trPr>
          <w:trHeight w:val="260"/>
        </w:trPr>
        <w:tc>
          <w:tcPr>
            <w:tcW w:w="5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E2B0D0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A5EB4A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51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0338C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066E81" w14:textId="6A97C495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CA3363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20ft Container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245B8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954C6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5FADC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595F9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56F8" w:rsidRPr="00C756F8" w14:paraId="2CEDA7B0" w14:textId="77777777" w:rsidTr="008F1237">
        <w:trPr>
          <w:trHeight w:val="260"/>
        </w:trPr>
        <w:tc>
          <w:tcPr>
            <w:tcW w:w="5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C9FC40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DEE0EA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51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75DA8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080B80C" w14:textId="5B5D7526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2158D0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40ft Container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DCBB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E27A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3592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CDF3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56F8" w:rsidRPr="00C756F8" w14:paraId="70C54A1C" w14:textId="77777777" w:rsidTr="008F1237">
        <w:trPr>
          <w:trHeight w:val="210"/>
        </w:trPr>
        <w:tc>
          <w:tcPr>
            <w:tcW w:w="5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46DE8F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D4E2B4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08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09C333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  <w:t>Or the Below charges shall be applicable (Whichever is higher)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22AA9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B5289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A3400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C2DB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56F8" w:rsidRPr="00C756F8" w14:paraId="2F3E1397" w14:textId="77777777" w:rsidTr="008F1237">
        <w:trPr>
          <w:trHeight w:val="142"/>
        </w:trPr>
        <w:tc>
          <w:tcPr>
            <w:tcW w:w="5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B90C5B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1BE662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51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229F2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Pallet handling (</w:t>
            </w:r>
            <w:proofErr w:type="spellStart"/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upto</w:t>
            </w:r>
            <w:proofErr w:type="spellEnd"/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 xml:space="preserve"> one ton max)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1BC8" w14:textId="2B6417A9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668CAA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Per Pallet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F3AC3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E1EFD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782B6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E5FCD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56F8" w:rsidRPr="00C756F8" w14:paraId="1357536F" w14:textId="77777777" w:rsidTr="008F1237">
        <w:trPr>
          <w:trHeight w:val="246"/>
        </w:trPr>
        <w:tc>
          <w:tcPr>
            <w:tcW w:w="5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8252B5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ABD533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51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1EF1A6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Loose cargo up to 30kgs (Carton, Bags, Bale). Beyond 30kgs will be considered as pallet handling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94B43" w14:textId="39EC749A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394100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Package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F79EA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4C27A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58C32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05E1E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56F8" w:rsidRPr="00C756F8" w14:paraId="35B1FF4C" w14:textId="77777777" w:rsidTr="008F1237">
        <w:trPr>
          <w:trHeight w:val="260"/>
        </w:trPr>
        <w:tc>
          <w:tcPr>
            <w:tcW w:w="141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4B084"/>
            <w:vAlign w:val="center"/>
            <w:hideMark/>
          </w:tcPr>
          <w:p w14:paraId="18287516" w14:textId="77777777" w:rsidR="00C756F8" w:rsidRPr="00C756F8" w:rsidRDefault="00C756F8" w:rsidP="00C756F8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  <w:t>OUT BOUND TO FTWZ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08377" w14:textId="77777777" w:rsidR="00C756F8" w:rsidRPr="00C756F8" w:rsidRDefault="00C756F8" w:rsidP="00C756F8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4817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A8EB9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0621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56F8" w:rsidRPr="00C756F8" w14:paraId="68EF177A" w14:textId="77777777" w:rsidTr="008F1237">
        <w:trPr>
          <w:trHeight w:val="340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ADB"/>
            <w:vAlign w:val="center"/>
            <w:hideMark/>
          </w:tcPr>
          <w:p w14:paraId="089BE240" w14:textId="77777777" w:rsidR="00C756F8" w:rsidRPr="00C756F8" w:rsidRDefault="00C756F8" w:rsidP="00C756F8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  <w:t>Sl. No.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ADB"/>
            <w:vAlign w:val="center"/>
            <w:hideMark/>
          </w:tcPr>
          <w:p w14:paraId="5F436A58" w14:textId="77777777" w:rsidR="00C756F8" w:rsidRPr="00C756F8" w:rsidRDefault="00C756F8" w:rsidP="00C756F8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  <w:t>Description Of Activities</w:t>
            </w:r>
          </w:p>
        </w:tc>
        <w:tc>
          <w:tcPr>
            <w:tcW w:w="51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ADB"/>
            <w:vAlign w:val="center"/>
            <w:hideMark/>
          </w:tcPr>
          <w:p w14:paraId="38539B8B" w14:textId="77777777" w:rsidR="00C756F8" w:rsidRPr="00C756F8" w:rsidRDefault="00C756F8" w:rsidP="00C756F8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  <w:t>Remarks (Scope of activities)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ADB"/>
            <w:vAlign w:val="center"/>
            <w:hideMark/>
          </w:tcPr>
          <w:p w14:paraId="7A82FAB6" w14:textId="77777777" w:rsidR="00C756F8" w:rsidRPr="00C756F8" w:rsidRDefault="00C756F8" w:rsidP="00C756F8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  <w:t>Charges in INR</w:t>
            </w:r>
          </w:p>
        </w:tc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ADB"/>
            <w:vAlign w:val="center"/>
            <w:hideMark/>
          </w:tcPr>
          <w:p w14:paraId="0DD90272" w14:textId="77777777" w:rsidR="00C756F8" w:rsidRPr="00C756F8" w:rsidRDefault="00C756F8" w:rsidP="00C756F8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  <w:t>Type of Shipment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F794C" w14:textId="77777777" w:rsidR="00C756F8" w:rsidRPr="00C756F8" w:rsidRDefault="00C756F8" w:rsidP="00C756F8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D470D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BB3E2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0D02D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56F8" w:rsidRPr="00C756F8" w14:paraId="70A5CE27" w14:textId="77777777" w:rsidTr="008F1237">
        <w:trPr>
          <w:trHeight w:val="318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487F3" w14:textId="77777777" w:rsidR="00C756F8" w:rsidRPr="00C756F8" w:rsidRDefault="00C756F8" w:rsidP="00C756F8">
            <w:pPr>
              <w:jc w:val="center"/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C04CF2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  <w:t>Outbound FTWZ to DTA</w:t>
            </w:r>
          </w:p>
        </w:tc>
        <w:tc>
          <w:tcPr>
            <w:tcW w:w="51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54A752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Clearance Charges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A3D299" w14:textId="3F42195A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D3214F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Higher of Per invoice / DTA BOE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1927E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DA77E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F5DB2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5619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56F8" w:rsidRPr="00C756F8" w14:paraId="79AFB92C" w14:textId="77777777" w:rsidTr="008F1237">
        <w:trPr>
          <w:trHeight w:val="266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29C8A" w14:textId="77777777" w:rsidR="00C756F8" w:rsidRPr="00C756F8" w:rsidRDefault="00C756F8" w:rsidP="00C756F8">
            <w:pPr>
              <w:jc w:val="center"/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9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9C230A" w14:textId="77777777" w:rsidR="00C756F8" w:rsidRPr="00C756F8" w:rsidRDefault="00C756F8" w:rsidP="00C756F8">
            <w:pPr>
              <w:spacing w:after="240"/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  <w:t>Outbound FTWZ to FC</w:t>
            </w:r>
          </w:p>
        </w:tc>
        <w:tc>
          <w:tcPr>
            <w:tcW w:w="51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F9065B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Clearance Charges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75B517" w14:textId="65D370A1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B0F9A3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Higher of Per invoice / Shipping Bill / Container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5CA96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9DDAC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9C8A7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39F37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56F8" w:rsidRPr="00C756F8" w14:paraId="21B8D9C0" w14:textId="77777777" w:rsidTr="008F1237">
        <w:trPr>
          <w:trHeight w:val="512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FD607" w14:textId="77777777" w:rsidR="00C756F8" w:rsidRPr="00C756F8" w:rsidRDefault="00C756F8" w:rsidP="00C756F8">
            <w:pPr>
              <w:jc w:val="center"/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10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A2ACED" w14:textId="77777777" w:rsidR="00C756F8" w:rsidRPr="00C756F8" w:rsidRDefault="00C756F8" w:rsidP="00C756F8">
            <w:pPr>
              <w:spacing w:after="240"/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  <w:t>Zone to Zone(SEZ to FTWZ / FTWZ to SEZ)</w:t>
            </w:r>
          </w:p>
        </w:tc>
        <w:tc>
          <w:tcPr>
            <w:tcW w:w="51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D0C689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Clearance Charges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5D1F5A" w14:textId="7B94AFA5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8B8A1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Higher of Per invoice / BOE/Vehicle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FD8EC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1A6CF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91B34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8916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56F8" w:rsidRPr="00C756F8" w14:paraId="002085CE" w14:textId="77777777" w:rsidTr="008F1237">
        <w:trPr>
          <w:trHeight w:val="260"/>
        </w:trPr>
        <w:tc>
          <w:tcPr>
            <w:tcW w:w="5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65C89" w14:textId="77777777" w:rsidR="00C756F8" w:rsidRPr="00C756F8" w:rsidRDefault="00C756F8" w:rsidP="00C756F8">
            <w:pPr>
              <w:jc w:val="center"/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12</w:t>
            </w:r>
          </w:p>
        </w:tc>
        <w:tc>
          <w:tcPr>
            <w:tcW w:w="2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7C98E00A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 xml:space="preserve"> Outbound Handling charges </w:t>
            </w: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br/>
              <w:t>(Non-ODC)</w:t>
            </w:r>
          </w:p>
        </w:tc>
        <w:tc>
          <w:tcPr>
            <w:tcW w:w="518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D7CB88" w14:textId="149FD1F9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 xml:space="preserve">Handling per vehicle or BOE </w:t>
            </w:r>
            <w:r w:rsidR="00827270"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whichever</w:t>
            </w: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 xml:space="preserve"> is higher.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7E976" w14:textId="12234102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B43188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LCL / Air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CE3D4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2969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A8279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C5A4A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56F8" w:rsidRPr="00C756F8" w14:paraId="46A5F513" w14:textId="77777777" w:rsidTr="008F1237">
        <w:trPr>
          <w:trHeight w:val="260"/>
        </w:trPr>
        <w:tc>
          <w:tcPr>
            <w:tcW w:w="5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B9D6CC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723B55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51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B1169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BB7A157" w14:textId="6D81AB23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B56948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20ft Container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4F7E7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71F6D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D6F84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BE968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56F8" w:rsidRPr="00C756F8" w14:paraId="081A02C0" w14:textId="77777777" w:rsidTr="008F1237">
        <w:trPr>
          <w:trHeight w:val="260"/>
        </w:trPr>
        <w:tc>
          <w:tcPr>
            <w:tcW w:w="5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B7BFE1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4913C0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51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76DA4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85EB98" w14:textId="228F4D83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ABF6D9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40ft Container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98C7D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F9751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CB44C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DB874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56F8" w:rsidRPr="00C756F8" w14:paraId="7B19A7ED" w14:textId="77777777" w:rsidTr="008F1237">
        <w:trPr>
          <w:trHeight w:val="260"/>
        </w:trPr>
        <w:tc>
          <w:tcPr>
            <w:tcW w:w="5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E83399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106919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08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9CA8DE" w14:textId="6E9D4E5D" w:rsidR="00C756F8" w:rsidRPr="00C756F8" w:rsidRDefault="00C756F8" w:rsidP="00C756F8">
            <w:pPr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1CBF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6ABE5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483B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8E9AE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56F8" w:rsidRPr="00C756F8" w14:paraId="522C1D77" w14:textId="77777777" w:rsidTr="008F1237">
        <w:trPr>
          <w:trHeight w:val="260"/>
        </w:trPr>
        <w:tc>
          <w:tcPr>
            <w:tcW w:w="5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4C28A2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BF9A4E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51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8F78CD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Pallet handling (</w:t>
            </w:r>
            <w:proofErr w:type="spellStart"/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upto</w:t>
            </w:r>
            <w:proofErr w:type="spellEnd"/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 xml:space="preserve"> one ton max)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A41D7" w14:textId="23D43355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5CA833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Per Pallet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D973A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58BA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B8415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6C90F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56F8" w:rsidRPr="00C756F8" w14:paraId="33A0D9A0" w14:textId="77777777" w:rsidTr="008F1237">
        <w:trPr>
          <w:trHeight w:val="315"/>
        </w:trPr>
        <w:tc>
          <w:tcPr>
            <w:tcW w:w="5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732FFB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046A2E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51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6A30D1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Loose cargo up to 30kgs (Carton, Bags, Bale). Beyond 30kgs will be considered as pallet handling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F9985" w14:textId="1EC20CF0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1143C2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Package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1250B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70058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18A5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F4257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56F8" w:rsidRPr="00C756F8" w14:paraId="66469947" w14:textId="77777777" w:rsidTr="008F1237">
        <w:trPr>
          <w:trHeight w:val="272"/>
        </w:trPr>
        <w:tc>
          <w:tcPr>
            <w:tcW w:w="5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996AF" w14:textId="77777777" w:rsidR="00C756F8" w:rsidRPr="00C756F8" w:rsidRDefault="00C756F8" w:rsidP="00C756F8">
            <w:pPr>
              <w:jc w:val="center"/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13</w:t>
            </w:r>
          </w:p>
        </w:tc>
        <w:tc>
          <w:tcPr>
            <w:tcW w:w="2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67CF6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  <w:t>FTWZ to Chennai Port (Outbound transportation)</w:t>
            </w:r>
          </w:p>
        </w:tc>
        <w:tc>
          <w:tcPr>
            <w:tcW w:w="518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4A47C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Transportation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70EF3" w14:textId="15770A7D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55B50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LCL /Air- MCV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D0080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12AE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E716F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26918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56F8" w:rsidRPr="00C756F8" w14:paraId="0CFEF061" w14:textId="77777777" w:rsidTr="008F1237">
        <w:trPr>
          <w:trHeight w:val="139"/>
        </w:trPr>
        <w:tc>
          <w:tcPr>
            <w:tcW w:w="5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337A6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AA2A4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51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E1E0E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3ECEE" w14:textId="12DA12D6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654B3E" w14:textId="392A46D9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20ft Container (</w:t>
            </w:r>
            <w:proofErr w:type="spellStart"/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Upto</w:t>
            </w:r>
            <w:proofErr w:type="spellEnd"/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 xml:space="preserve"> 22 Tons). Higher than 22MT rate would be charged </w:t>
            </w:r>
            <w:r w:rsidR="00827270"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proportionately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448C3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8465D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062B6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79C96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56F8" w:rsidRPr="00C756F8" w14:paraId="1A4B7364" w14:textId="77777777" w:rsidTr="008F1237">
        <w:trPr>
          <w:trHeight w:val="319"/>
        </w:trPr>
        <w:tc>
          <w:tcPr>
            <w:tcW w:w="5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8611A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1EE32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51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BE682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6C3E5" w14:textId="531162C6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460AA6" w14:textId="08867AD2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40ft Container (</w:t>
            </w:r>
            <w:proofErr w:type="spellStart"/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Upto</w:t>
            </w:r>
            <w:proofErr w:type="spellEnd"/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 xml:space="preserve"> 24 Tons). Higher than 24MT rate would be charged </w:t>
            </w:r>
            <w:r w:rsidR="00827270"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proportionately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34FDB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B5E53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E60DB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68F12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56F8" w:rsidRPr="00C756F8" w14:paraId="211E3002" w14:textId="77777777" w:rsidTr="008F1237">
        <w:trPr>
          <w:trHeight w:val="260"/>
        </w:trPr>
        <w:tc>
          <w:tcPr>
            <w:tcW w:w="141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4B083"/>
            <w:vAlign w:val="center"/>
            <w:hideMark/>
          </w:tcPr>
          <w:p w14:paraId="5B96929A" w14:textId="77777777" w:rsidR="00C756F8" w:rsidRPr="00C756F8" w:rsidRDefault="00C756F8" w:rsidP="00C756F8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  <w:lastRenderedPageBreak/>
              <w:t>ODC Cargo If applicable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2FE87" w14:textId="77777777" w:rsidR="00C756F8" w:rsidRPr="00C756F8" w:rsidRDefault="00C756F8" w:rsidP="00C756F8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B600D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0B8DB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04CC7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56F8" w:rsidRPr="00C756F8" w14:paraId="7A4AB31C" w14:textId="77777777" w:rsidTr="008F1237">
        <w:trPr>
          <w:trHeight w:val="500"/>
        </w:trPr>
        <w:tc>
          <w:tcPr>
            <w:tcW w:w="5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47BAB" w14:textId="77777777" w:rsidR="00C756F8" w:rsidRPr="00C756F8" w:rsidRDefault="00C756F8" w:rsidP="00C756F8">
            <w:pPr>
              <w:jc w:val="center"/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14</w:t>
            </w:r>
          </w:p>
        </w:tc>
        <w:tc>
          <w:tcPr>
            <w:tcW w:w="2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918C6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Stuffing / De-Stuffing of ODC Cargo</w:t>
            </w:r>
          </w:p>
        </w:tc>
        <w:tc>
          <w:tcPr>
            <w:tcW w:w="51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852FA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 xml:space="preserve">De stuffing and  Inbound charges 12 MT Crane - </w:t>
            </w:r>
            <w:r w:rsidRPr="00C756F8">
              <w:rPr>
                <w:rFonts w:ascii="Book Antiqua" w:eastAsia="Times New Roman" w:hAnsi="Book Antiqua" w:cs="Calibri"/>
                <w:i/>
                <w:iCs/>
                <w:color w:val="000000"/>
                <w:sz w:val="14"/>
                <w:szCs w:val="14"/>
                <w:lang w:eastAsia="en-GB"/>
              </w:rPr>
              <w:t>Minimum Billing Per Shift (One Shift = 8 Hours)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3FBCA" w14:textId="5D072743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45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F4C59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Per Shift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0D59D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FB55D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D75A4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71203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56F8" w:rsidRPr="00C756F8" w14:paraId="7955FF4C" w14:textId="77777777" w:rsidTr="008F1237">
        <w:trPr>
          <w:trHeight w:val="520"/>
        </w:trPr>
        <w:tc>
          <w:tcPr>
            <w:tcW w:w="5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C637F4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D4C01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51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99D53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 xml:space="preserve">De-Stuffing and Inbound using 14 MT Crane - </w:t>
            </w:r>
            <w:r w:rsidRPr="00C756F8">
              <w:rPr>
                <w:rFonts w:ascii="Book Antiqua" w:eastAsia="Times New Roman" w:hAnsi="Book Antiqua" w:cs="Calibri"/>
                <w:i/>
                <w:iCs/>
                <w:color w:val="000000"/>
                <w:sz w:val="14"/>
                <w:szCs w:val="14"/>
                <w:lang w:eastAsia="en-GB"/>
              </w:rPr>
              <w:t>Minimum Billing Per Shift  (One Shift = 8 Hours)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5669F" w14:textId="767A0D4D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4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ECA0F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A9BA8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25FAF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DACE5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E8B62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56F8" w:rsidRPr="00C756F8" w14:paraId="2626547B" w14:textId="77777777" w:rsidTr="008F1237">
        <w:trPr>
          <w:trHeight w:val="260"/>
        </w:trPr>
        <w:tc>
          <w:tcPr>
            <w:tcW w:w="5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FF87F" w14:textId="77777777" w:rsidR="00C756F8" w:rsidRPr="00C756F8" w:rsidRDefault="00C756F8" w:rsidP="00C756F8">
            <w:pPr>
              <w:jc w:val="center"/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15</w:t>
            </w:r>
          </w:p>
        </w:tc>
        <w:tc>
          <w:tcPr>
            <w:tcW w:w="2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D23F0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 xml:space="preserve">Roller Gang Movement (To / </w:t>
            </w:r>
            <w:proofErr w:type="spellStart"/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Fro</w:t>
            </w:r>
            <w:proofErr w:type="spellEnd"/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)</w:t>
            </w:r>
          </w:p>
        </w:tc>
        <w:tc>
          <w:tcPr>
            <w:tcW w:w="518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87526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 xml:space="preserve">This includes the movement of the Unloaded ODC Cargo to the safe storage / from the Safe Storage area using the roller gang movement from / to the Stagging area. </w:t>
            </w: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br/>
            </w:r>
            <w:r w:rsidRPr="00C756F8">
              <w:rPr>
                <w:rFonts w:ascii="Book Antiqua" w:eastAsia="Times New Roman" w:hAnsi="Book Antiqua" w:cs="Calibri"/>
                <w:b/>
                <w:bCs/>
                <w:i/>
                <w:iCs/>
                <w:color w:val="000000"/>
                <w:sz w:val="14"/>
                <w:szCs w:val="14"/>
                <w:u w:val="single"/>
                <w:lang w:eastAsia="en-GB"/>
              </w:rPr>
              <w:t>*Any machine exceeding 12 ton shall be quoted on case to case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2E6CF" w14:textId="435D4C9E" w:rsidR="00C756F8" w:rsidRPr="00C756F8" w:rsidRDefault="00C756F8" w:rsidP="00C756F8">
            <w:pPr>
              <w:jc w:val="center"/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453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D48EC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 xml:space="preserve">Per Machine </w:t>
            </w:r>
            <w:proofErr w:type="spellStart"/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upto</w:t>
            </w:r>
            <w:proofErr w:type="spellEnd"/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 xml:space="preserve"> 12 </w:t>
            </w:r>
            <w:proofErr w:type="spellStart"/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Mton</w:t>
            </w:r>
            <w:proofErr w:type="spellEnd"/>
            <w:r w:rsidRPr="00C756F8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 xml:space="preserve"> Per Movement 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368A5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2436D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1A35C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D683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56F8" w:rsidRPr="00C756F8" w14:paraId="202F0273" w14:textId="77777777" w:rsidTr="008F1237">
        <w:trPr>
          <w:trHeight w:val="260"/>
        </w:trPr>
        <w:tc>
          <w:tcPr>
            <w:tcW w:w="5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3B3F3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2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9B2CC6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51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163F3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427B7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45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E45811" w14:textId="77777777" w:rsidR="00C756F8" w:rsidRPr="00C756F8" w:rsidRDefault="00C756F8" w:rsidP="00C756F8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3740C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7AB1B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BEDDF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4D4C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56F8" w:rsidRPr="00C756F8" w14:paraId="7328B385" w14:textId="77777777" w:rsidTr="008F1237">
        <w:trPr>
          <w:trHeight w:val="260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D7B945" w14:textId="5AE4824C" w:rsidR="00C756F8" w:rsidRPr="00C756F8" w:rsidRDefault="00C756F8" w:rsidP="00C756F8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EB56B3" w14:textId="6D5116CC" w:rsidR="00C756F8" w:rsidRPr="00C756F8" w:rsidRDefault="00C756F8" w:rsidP="00C756F8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5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69CCB4" w14:textId="77777777" w:rsidR="00C756F8" w:rsidRPr="00C756F8" w:rsidRDefault="00C756F8" w:rsidP="00C756F8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F1C60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5E3A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B9841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CF6DE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762C9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A572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756F8" w:rsidRPr="00C756F8" w14:paraId="2158E18B" w14:textId="77777777" w:rsidTr="008F1237">
        <w:trPr>
          <w:trHeight w:val="260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7BDC7D" w14:textId="20159222" w:rsidR="00C756F8" w:rsidRPr="00C756F8" w:rsidRDefault="00C756F8" w:rsidP="00C756F8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7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C6AC42" w14:textId="0B6796EC" w:rsidR="00C756F8" w:rsidRPr="00C756F8" w:rsidRDefault="00C756F8" w:rsidP="00C756F8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B3BC4" w14:textId="77777777" w:rsidR="00C756F8" w:rsidRPr="00C756F8" w:rsidRDefault="00C756F8" w:rsidP="00C756F8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0953C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A0022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3C9F4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778EC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6C323" w14:textId="77777777" w:rsidR="00C756F8" w:rsidRPr="00C756F8" w:rsidRDefault="00C756F8" w:rsidP="00C756F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509D0" w:rsidRPr="005509D0" w14:paraId="4624376C" w14:textId="77777777" w:rsidTr="008F1237">
        <w:trPr>
          <w:gridAfter w:val="4"/>
          <w:wAfter w:w="7196" w:type="dxa"/>
          <w:trHeight w:val="200"/>
        </w:trPr>
        <w:tc>
          <w:tcPr>
            <w:tcW w:w="141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154D00CB" w14:textId="77777777" w:rsidR="005509D0" w:rsidRPr="005509D0" w:rsidRDefault="005509D0" w:rsidP="005509D0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5509D0"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  <w:t>STORAGE CHARGES</w:t>
            </w:r>
          </w:p>
        </w:tc>
      </w:tr>
      <w:tr w:rsidR="005509D0" w:rsidRPr="005509D0" w14:paraId="24F1776C" w14:textId="77777777" w:rsidTr="008F1237">
        <w:trPr>
          <w:gridAfter w:val="4"/>
          <w:wAfter w:w="7196" w:type="dxa"/>
          <w:trHeight w:val="209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ADB"/>
            <w:vAlign w:val="center"/>
            <w:hideMark/>
          </w:tcPr>
          <w:p w14:paraId="766F159B" w14:textId="71FE7451" w:rsidR="005509D0" w:rsidRPr="005509D0" w:rsidRDefault="005509D0" w:rsidP="005509D0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  <w:proofErr w:type="spellStart"/>
            <w:r w:rsidRPr="005509D0">
              <w:rPr>
                <w:rFonts w:ascii="Book Antiqua" w:eastAsia="Times New Roman" w:hAnsi="Book Antiqua" w:cs="Calibri"/>
                <w:b/>
                <w:bCs/>
                <w:color w:val="000000"/>
                <w:sz w:val="13"/>
                <w:szCs w:val="13"/>
                <w:lang w:eastAsia="en-GB"/>
              </w:rPr>
              <w:t>Sl.No</w:t>
            </w:r>
            <w:proofErr w:type="spellEnd"/>
            <w:r w:rsidRPr="005509D0">
              <w:rPr>
                <w:rFonts w:ascii="Book Antiqua" w:eastAsia="Times New Roman" w:hAnsi="Book Antiqua" w:cs="Calibri"/>
                <w:b/>
                <w:bCs/>
                <w:color w:val="000000"/>
                <w:sz w:val="13"/>
                <w:szCs w:val="13"/>
                <w:lang w:eastAsia="en-GB"/>
              </w:rPr>
              <w:t>.</w:t>
            </w:r>
          </w:p>
        </w:tc>
        <w:tc>
          <w:tcPr>
            <w:tcW w:w="5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ADB"/>
            <w:vAlign w:val="center"/>
            <w:hideMark/>
          </w:tcPr>
          <w:p w14:paraId="1E9CC050" w14:textId="77777777" w:rsidR="005509D0" w:rsidRPr="005509D0" w:rsidRDefault="005509D0" w:rsidP="005509D0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5509D0"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  <w:t>Description Of Activities</w:t>
            </w:r>
          </w:p>
        </w:tc>
        <w:tc>
          <w:tcPr>
            <w:tcW w:w="7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EAADB"/>
            <w:vAlign w:val="center"/>
            <w:hideMark/>
          </w:tcPr>
          <w:p w14:paraId="7E8A9134" w14:textId="77777777" w:rsidR="005509D0" w:rsidRPr="005509D0" w:rsidRDefault="005509D0" w:rsidP="005509D0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5509D0"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  <w:t>Charges in INR</w:t>
            </w:r>
          </w:p>
        </w:tc>
      </w:tr>
      <w:tr w:rsidR="005509D0" w:rsidRPr="005509D0" w14:paraId="0ABA1061" w14:textId="77777777" w:rsidTr="008F1237">
        <w:trPr>
          <w:gridAfter w:val="4"/>
          <w:wAfter w:w="7196" w:type="dxa"/>
          <w:trHeight w:val="426"/>
        </w:trPr>
        <w:tc>
          <w:tcPr>
            <w:tcW w:w="5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F23B4" w14:textId="77777777" w:rsidR="005509D0" w:rsidRPr="005509D0" w:rsidRDefault="005509D0" w:rsidP="005509D0">
            <w:pPr>
              <w:jc w:val="center"/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5509D0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1</w:t>
            </w:r>
          </w:p>
        </w:tc>
        <w:tc>
          <w:tcPr>
            <w:tcW w:w="5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99671" w14:textId="77777777" w:rsidR="005509D0" w:rsidRPr="005509D0" w:rsidRDefault="005509D0" w:rsidP="005509D0">
            <w:pPr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5509D0"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  <w:t xml:space="preserve">Covered Storage Area Charges </w:t>
            </w:r>
          </w:p>
        </w:tc>
        <w:tc>
          <w:tcPr>
            <w:tcW w:w="7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D5607" w14:textId="3E042DF0" w:rsidR="005509D0" w:rsidRPr="005509D0" w:rsidRDefault="005509D0" w:rsidP="005509D0">
            <w:pPr>
              <w:rPr>
                <w:rFonts w:ascii="Bookman Old Style" w:eastAsia="Times New Roman" w:hAnsi="Bookman Old Style" w:cs="Calibri"/>
                <w:color w:val="000000"/>
                <w:sz w:val="14"/>
                <w:szCs w:val="14"/>
                <w:lang w:eastAsia="en-GB"/>
              </w:rPr>
            </w:pPr>
            <w:proofErr w:type="gramStart"/>
            <w:r w:rsidRPr="005509D0">
              <w:rPr>
                <w:rFonts w:ascii="Bookman Old Style" w:eastAsia="Times New Roman" w:hAnsi="Bookman Old Style" w:cs="Calibri"/>
                <w:color w:val="000000"/>
                <w:sz w:val="14"/>
                <w:szCs w:val="14"/>
                <w:lang w:eastAsia="en-GB"/>
              </w:rPr>
              <w:t>INR :</w:t>
            </w:r>
            <w:proofErr w:type="gramEnd"/>
            <w:r w:rsidRPr="005509D0">
              <w:rPr>
                <w:rFonts w:ascii="Bookman Old Style" w:eastAsia="Times New Roman" w:hAnsi="Bookman Old Style" w:cs="Calibri"/>
                <w:color w:val="000000"/>
                <w:sz w:val="14"/>
                <w:szCs w:val="14"/>
                <w:lang w:eastAsia="en-GB"/>
              </w:rPr>
              <w:t xml:space="preserve">  Per </w:t>
            </w:r>
            <w:proofErr w:type="spellStart"/>
            <w:r w:rsidRPr="005509D0">
              <w:rPr>
                <w:rFonts w:ascii="Bookman Old Style" w:eastAsia="Times New Roman" w:hAnsi="Bookman Old Style" w:cs="Calibri"/>
                <w:color w:val="000000"/>
                <w:sz w:val="14"/>
                <w:szCs w:val="14"/>
                <w:lang w:eastAsia="en-GB"/>
              </w:rPr>
              <w:t>Sqft</w:t>
            </w:r>
            <w:proofErr w:type="spellEnd"/>
            <w:r w:rsidRPr="005509D0">
              <w:rPr>
                <w:rFonts w:ascii="Bookman Old Style" w:eastAsia="Times New Roman" w:hAnsi="Bookman Old Style" w:cs="Calibri"/>
                <w:color w:val="000000"/>
                <w:sz w:val="14"/>
                <w:szCs w:val="14"/>
                <w:lang w:eastAsia="en-GB"/>
              </w:rPr>
              <w:t xml:space="preserve"> / Month</w:t>
            </w:r>
            <w:r w:rsidRPr="005509D0">
              <w:rPr>
                <w:rFonts w:ascii="Bookman Old Style" w:eastAsia="Times New Roman" w:hAnsi="Bookman Old Style" w:cs="Calibri"/>
                <w:color w:val="000000"/>
                <w:sz w:val="14"/>
                <w:szCs w:val="14"/>
                <w:lang w:eastAsia="en-GB"/>
              </w:rPr>
              <w:br/>
              <w:t>Area calculation will be on a Bi-monthly basis</w:t>
            </w:r>
            <w:r w:rsidR="00A30901">
              <w:rPr>
                <w:rFonts w:ascii="Bookman Old Style" w:eastAsia="Times New Roman" w:hAnsi="Bookman Old Style" w:cs="Calibri"/>
                <w:color w:val="000000"/>
                <w:sz w:val="14"/>
                <w:szCs w:val="14"/>
                <w:lang w:eastAsia="en-GB"/>
              </w:rPr>
              <w:t xml:space="preserve"> </w:t>
            </w:r>
            <w:r w:rsidRPr="005509D0">
              <w:rPr>
                <w:rFonts w:ascii="Bookman Old Style" w:eastAsia="Times New Roman" w:hAnsi="Bookman Old Style" w:cs="Calibri"/>
                <w:color w:val="000000"/>
                <w:sz w:val="14"/>
                <w:szCs w:val="14"/>
                <w:lang w:eastAsia="en-GB"/>
              </w:rPr>
              <w:t xml:space="preserve">(1-15) &amp; (16-End of the month) </w:t>
            </w:r>
            <w:r w:rsidR="000B5947">
              <w:rPr>
                <w:rFonts w:ascii="Bookman Old Style" w:eastAsia="Times New Roman" w:hAnsi="Bookman Old Style" w:cs="Calibri"/>
                <w:color w:val="000000"/>
                <w:sz w:val="14"/>
                <w:szCs w:val="14"/>
                <w:lang w:eastAsia="en-GB"/>
              </w:rPr>
              <w:t xml:space="preserve">             </w:t>
            </w:r>
            <w:r w:rsidRPr="005509D0">
              <w:rPr>
                <w:rFonts w:ascii="Bookman Old Style" w:eastAsia="Times New Roman" w:hAnsi="Bookman Old Style" w:cs="Calibri"/>
                <w:color w:val="000000"/>
                <w:sz w:val="14"/>
                <w:szCs w:val="14"/>
                <w:lang w:eastAsia="en-GB"/>
              </w:rPr>
              <w:t xml:space="preserve">                             Minimum Billing for the period: 3000 </w:t>
            </w:r>
            <w:proofErr w:type="spellStart"/>
            <w:r w:rsidRPr="005509D0">
              <w:rPr>
                <w:rFonts w:ascii="Bookman Old Style" w:eastAsia="Times New Roman" w:hAnsi="Bookman Old Style" w:cs="Calibri"/>
                <w:color w:val="000000"/>
                <w:sz w:val="14"/>
                <w:szCs w:val="14"/>
                <w:lang w:eastAsia="en-GB"/>
              </w:rPr>
              <w:t>Sqft</w:t>
            </w:r>
            <w:proofErr w:type="spellEnd"/>
          </w:p>
        </w:tc>
      </w:tr>
      <w:tr w:rsidR="005509D0" w:rsidRPr="005509D0" w14:paraId="4A6ED12F" w14:textId="77777777" w:rsidTr="008F1237">
        <w:trPr>
          <w:gridAfter w:val="4"/>
          <w:wAfter w:w="7196" w:type="dxa"/>
          <w:trHeight w:val="476"/>
        </w:trPr>
        <w:tc>
          <w:tcPr>
            <w:tcW w:w="5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1317CE" w14:textId="77777777" w:rsidR="005509D0" w:rsidRPr="005509D0" w:rsidRDefault="005509D0" w:rsidP="005509D0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</w:p>
        </w:tc>
        <w:tc>
          <w:tcPr>
            <w:tcW w:w="5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50703" w14:textId="77777777" w:rsidR="005509D0" w:rsidRPr="005509D0" w:rsidRDefault="005509D0" w:rsidP="005509D0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5509D0"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  <w:t xml:space="preserve">Open Storage Area Charges </w:t>
            </w:r>
          </w:p>
        </w:tc>
        <w:tc>
          <w:tcPr>
            <w:tcW w:w="7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ADB61" w14:textId="150AF7D0" w:rsidR="005509D0" w:rsidRPr="005509D0" w:rsidRDefault="005509D0" w:rsidP="005509D0">
            <w:pPr>
              <w:rPr>
                <w:rFonts w:ascii="Bookman Old Style" w:eastAsia="Times New Roman" w:hAnsi="Bookman Old Style" w:cs="Calibri"/>
                <w:color w:val="000000"/>
                <w:sz w:val="14"/>
                <w:szCs w:val="14"/>
                <w:lang w:eastAsia="en-GB"/>
              </w:rPr>
            </w:pPr>
            <w:proofErr w:type="gramStart"/>
            <w:r w:rsidRPr="005509D0">
              <w:rPr>
                <w:rFonts w:ascii="Bookman Old Style" w:eastAsia="Times New Roman" w:hAnsi="Bookman Old Style" w:cs="Calibri"/>
                <w:color w:val="000000"/>
                <w:sz w:val="14"/>
                <w:szCs w:val="14"/>
                <w:lang w:eastAsia="en-GB"/>
              </w:rPr>
              <w:t>INR :</w:t>
            </w:r>
            <w:proofErr w:type="gramEnd"/>
            <w:r w:rsidRPr="005509D0">
              <w:rPr>
                <w:rFonts w:ascii="Bookman Old Style" w:eastAsia="Times New Roman" w:hAnsi="Bookman Old Style" w:cs="Calibri"/>
                <w:color w:val="000000"/>
                <w:sz w:val="14"/>
                <w:szCs w:val="14"/>
                <w:lang w:eastAsia="en-GB"/>
              </w:rPr>
              <w:t xml:space="preserve">  Per </w:t>
            </w:r>
            <w:proofErr w:type="spellStart"/>
            <w:r w:rsidRPr="005509D0">
              <w:rPr>
                <w:rFonts w:ascii="Bookman Old Style" w:eastAsia="Times New Roman" w:hAnsi="Bookman Old Style" w:cs="Calibri"/>
                <w:color w:val="000000"/>
                <w:sz w:val="14"/>
                <w:szCs w:val="14"/>
                <w:lang w:eastAsia="en-GB"/>
              </w:rPr>
              <w:t>Sqft</w:t>
            </w:r>
            <w:proofErr w:type="spellEnd"/>
            <w:r w:rsidRPr="005509D0">
              <w:rPr>
                <w:rFonts w:ascii="Bookman Old Style" w:eastAsia="Times New Roman" w:hAnsi="Bookman Old Style" w:cs="Calibri"/>
                <w:color w:val="000000"/>
                <w:sz w:val="14"/>
                <w:szCs w:val="14"/>
                <w:lang w:eastAsia="en-GB"/>
              </w:rPr>
              <w:t xml:space="preserve"> / Month</w:t>
            </w:r>
            <w:r w:rsidRPr="005509D0">
              <w:rPr>
                <w:rFonts w:ascii="Bookman Old Style" w:eastAsia="Times New Roman" w:hAnsi="Bookman Old Style" w:cs="Calibri"/>
                <w:color w:val="000000"/>
                <w:sz w:val="14"/>
                <w:szCs w:val="14"/>
                <w:lang w:eastAsia="en-GB"/>
              </w:rPr>
              <w:br/>
              <w:t xml:space="preserve">Area calculation will be on a Bi-monthly basis </w:t>
            </w:r>
            <w:r w:rsidR="00A30901">
              <w:rPr>
                <w:rFonts w:ascii="Bookman Old Style" w:eastAsia="Times New Roman" w:hAnsi="Bookman Old Style" w:cs="Calibri"/>
                <w:color w:val="000000"/>
                <w:sz w:val="14"/>
                <w:szCs w:val="14"/>
                <w:lang w:eastAsia="en-GB"/>
              </w:rPr>
              <w:t xml:space="preserve"> </w:t>
            </w:r>
            <w:r w:rsidRPr="005509D0">
              <w:rPr>
                <w:rFonts w:ascii="Bookman Old Style" w:eastAsia="Times New Roman" w:hAnsi="Bookman Old Style" w:cs="Calibri"/>
                <w:color w:val="000000"/>
                <w:sz w:val="14"/>
                <w:szCs w:val="14"/>
                <w:lang w:eastAsia="en-GB"/>
              </w:rPr>
              <w:t xml:space="preserve">(1-15) &amp; (16-End of the month)            </w:t>
            </w:r>
            <w:r w:rsidR="000B5947">
              <w:rPr>
                <w:rFonts w:ascii="Bookman Old Style" w:eastAsia="Times New Roman" w:hAnsi="Bookman Old Style" w:cs="Calibri"/>
                <w:color w:val="000000"/>
                <w:sz w:val="14"/>
                <w:szCs w:val="14"/>
                <w:lang w:eastAsia="en-GB"/>
              </w:rPr>
              <w:t xml:space="preserve">      </w:t>
            </w:r>
            <w:r w:rsidRPr="005509D0">
              <w:rPr>
                <w:rFonts w:ascii="Bookman Old Style" w:eastAsia="Times New Roman" w:hAnsi="Bookman Old Style" w:cs="Calibri"/>
                <w:color w:val="000000"/>
                <w:sz w:val="14"/>
                <w:szCs w:val="14"/>
                <w:lang w:eastAsia="en-GB"/>
              </w:rPr>
              <w:t xml:space="preserve">                     Minimum Billing for the period: 1000 </w:t>
            </w:r>
            <w:proofErr w:type="spellStart"/>
            <w:r w:rsidRPr="005509D0">
              <w:rPr>
                <w:rFonts w:ascii="Bookman Old Style" w:eastAsia="Times New Roman" w:hAnsi="Bookman Old Style" w:cs="Calibri"/>
                <w:color w:val="000000"/>
                <w:sz w:val="14"/>
                <w:szCs w:val="14"/>
                <w:lang w:eastAsia="en-GB"/>
              </w:rPr>
              <w:t>Sqft</w:t>
            </w:r>
            <w:proofErr w:type="spellEnd"/>
          </w:p>
        </w:tc>
      </w:tr>
      <w:tr w:rsidR="005509D0" w:rsidRPr="005509D0" w14:paraId="15D5CC94" w14:textId="77777777" w:rsidTr="008F1237">
        <w:trPr>
          <w:gridAfter w:val="4"/>
          <w:wAfter w:w="7196" w:type="dxa"/>
          <w:trHeight w:val="200"/>
        </w:trPr>
        <w:tc>
          <w:tcPr>
            <w:tcW w:w="141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185BD3B7" w14:textId="77777777" w:rsidR="005509D0" w:rsidRPr="005509D0" w:rsidRDefault="005509D0" w:rsidP="005509D0">
            <w:pPr>
              <w:jc w:val="center"/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5509D0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 </w:t>
            </w:r>
          </w:p>
        </w:tc>
      </w:tr>
    </w:tbl>
    <w:p w14:paraId="218A9F86" w14:textId="5E16944C" w:rsidR="000B5947" w:rsidRDefault="000B5947"/>
    <w:p w14:paraId="2343FF6D" w14:textId="49C12AEE" w:rsidR="000B5947" w:rsidRDefault="000B5947"/>
    <w:p w14:paraId="1298CEB2" w14:textId="77777777" w:rsidR="000B5947" w:rsidRDefault="000B5947"/>
    <w:tbl>
      <w:tblPr>
        <w:tblW w:w="14170" w:type="dxa"/>
        <w:tblLook w:val="04A0" w:firstRow="1" w:lastRow="0" w:firstColumn="1" w:lastColumn="0" w:noHBand="0" w:noVBand="1"/>
      </w:tblPr>
      <w:tblGrid>
        <w:gridCol w:w="704"/>
        <w:gridCol w:w="3969"/>
        <w:gridCol w:w="3969"/>
        <w:gridCol w:w="2126"/>
        <w:gridCol w:w="3402"/>
      </w:tblGrid>
      <w:tr w:rsidR="000B5947" w:rsidRPr="000B5947" w14:paraId="3585CEB4" w14:textId="77777777" w:rsidTr="000B5947">
        <w:trPr>
          <w:trHeight w:val="200"/>
        </w:trPr>
        <w:tc>
          <w:tcPr>
            <w:tcW w:w="141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vAlign w:val="center"/>
            <w:hideMark/>
          </w:tcPr>
          <w:p w14:paraId="00A42E03" w14:textId="77777777" w:rsidR="000B5947" w:rsidRPr="000B5947" w:rsidRDefault="000B5947" w:rsidP="000B5947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0B5947"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  <w:t xml:space="preserve">VAS and Resources : </w:t>
            </w:r>
          </w:p>
        </w:tc>
      </w:tr>
      <w:tr w:rsidR="000B5947" w:rsidRPr="000B5947" w14:paraId="50923D49" w14:textId="77777777" w:rsidTr="00377EE1">
        <w:trPr>
          <w:trHeight w:val="22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ADB"/>
            <w:vAlign w:val="center"/>
            <w:hideMark/>
          </w:tcPr>
          <w:p w14:paraId="6957B046" w14:textId="77777777" w:rsidR="000B5947" w:rsidRPr="000B5947" w:rsidRDefault="000B5947" w:rsidP="000B5947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0B5947"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  <w:t>Sl. No.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ADB"/>
            <w:vAlign w:val="center"/>
            <w:hideMark/>
          </w:tcPr>
          <w:p w14:paraId="64124D69" w14:textId="77777777" w:rsidR="000B5947" w:rsidRPr="000B5947" w:rsidRDefault="000B5947" w:rsidP="000B5947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0B5947"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  <w:t>Description Of Activities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ADB"/>
            <w:vAlign w:val="center"/>
            <w:hideMark/>
          </w:tcPr>
          <w:p w14:paraId="2D30A923" w14:textId="77777777" w:rsidR="000B5947" w:rsidRPr="000B5947" w:rsidRDefault="000B5947" w:rsidP="000B5947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0B5947"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  <w:t>Remarks (Scope of activities)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ADB"/>
            <w:vAlign w:val="center"/>
            <w:hideMark/>
          </w:tcPr>
          <w:p w14:paraId="3ED55E16" w14:textId="77777777" w:rsidR="000B5947" w:rsidRPr="000B5947" w:rsidRDefault="000B5947" w:rsidP="000B5947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0B5947"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  <w:t>Charges in INR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ADB"/>
            <w:vAlign w:val="center"/>
            <w:hideMark/>
          </w:tcPr>
          <w:p w14:paraId="1A873894" w14:textId="77777777" w:rsidR="000B5947" w:rsidRPr="000B5947" w:rsidRDefault="000B5947" w:rsidP="000B5947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</w:pPr>
            <w:r w:rsidRPr="000B5947">
              <w:rPr>
                <w:rFonts w:ascii="Book Antiqua" w:eastAsia="Times New Roman" w:hAnsi="Book Antiqua" w:cs="Calibri"/>
                <w:b/>
                <w:bCs/>
                <w:color w:val="000000"/>
                <w:sz w:val="14"/>
                <w:szCs w:val="14"/>
                <w:lang w:eastAsia="en-GB"/>
              </w:rPr>
              <w:t>Type of Activity</w:t>
            </w:r>
          </w:p>
        </w:tc>
      </w:tr>
      <w:tr w:rsidR="000B5947" w:rsidRPr="000B5947" w14:paraId="74366782" w14:textId="77777777" w:rsidTr="00377EE1">
        <w:trPr>
          <w:trHeight w:val="22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460A37" w14:textId="77777777" w:rsidR="000B5947" w:rsidRPr="000B5947" w:rsidRDefault="000B5947" w:rsidP="000B5947">
            <w:pPr>
              <w:jc w:val="center"/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0B5947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029AA6" w14:textId="77777777" w:rsidR="000B5947" w:rsidRPr="000B5947" w:rsidRDefault="000B5947" w:rsidP="000B5947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0B5947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De-Palletization Charge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3B4C2" w14:textId="77777777" w:rsidR="000B5947" w:rsidRPr="000B5947" w:rsidRDefault="000B5947" w:rsidP="000B5947">
            <w:pPr>
              <w:jc w:val="both"/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0B5947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 xml:space="preserve">De-Palletization of  Pallet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A6A3E" w14:textId="77777777" w:rsidR="000B5947" w:rsidRPr="000B5947" w:rsidRDefault="000B5947" w:rsidP="000B5947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0B5947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 xml:space="preserve"> </w:t>
            </w:r>
            <w:r w:rsidRPr="000B594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₹</w:t>
            </w:r>
            <w:r w:rsidRPr="000B5947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 xml:space="preserve">                                       150.00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A986D" w14:textId="77777777" w:rsidR="000B5947" w:rsidRPr="000B5947" w:rsidRDefault="000B5947" w:rsidP="000B5947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0B5947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 xml:space="preserve"> Per pallet </w:t>
            </w:r>
          </w:p>
        </w:tc>
      </w:tr>
      <w:tr w:rsidR="000B5947" w:rsidRPr="000B5947" w14:paraId="3813B9B5" w14:textId="77777777" w:rsidTr="00377EE1">
        <w:trPr>
          <w:trHeight w:val="156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2DE53A" w14:textId="77777777" w:rsidR="000B5947" w:rsidRPr="000B5947" w:rsidRDefault="000B5947" w:rsidP="000B5947">
            <w:pPr>
              <w:jc w:val="center"/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0B5947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BFDDC8" w14:textId="77777777" w:rsidR="000B5947" w:rsidRPr="000B5947" w:rsidRDefault="000B5947" w:rsidP="000B5947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0B5947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>Re -Palletization Charge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BF0DD" w14:textId="77777777" w:rsidR="000B5947" w:rsidRPr="000B5947" w:rsidRDefault="000B5947" w:rsidP="000B5947">
            <w:pPr>
              <w:jc w:val="both"/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0B5947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 xml:space="preserve">Re Palletization of  Pallet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41264" w14:textId="77777777" w:rsidR="000B5947" w:rsidRPr="000B5947" w:rsidRDefault="000B5947" w:rsidP="000B5947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0B5947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 xml:space="preserve"> </w:t>
            </w:r>
            <w:r w:rsidRPr="000B594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GB"/>
              </w:rPr>
              <w:t>₹</w:t>
            </w:r>
            <w:r w:rsidRPr="000B5947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 xml:space="preserve">                                       150.00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28ACC" w14:textId="77777777" w:rsidR="000B5947" w:rsidRPr="000B5947" w:rsidRDefault="000B5947" w:rsidP="000B5947">
            <w:pPr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</w:pPr>
            <w:r w:rsidRPr="000B5947">
              <w:rPr>
                <w:rFonts w:ascii="Book Antiqua" w:eastAsia="Times New Roman" w:hAnsi="Book Antiqua" w:cs="Calibri"/>
                <w:color w:val="000000"/>
                <w:sz w:val="14"/>
                <w:szCs w:val="14"/>
                <w:lang w:eastAsia="en-GB"/>
              </w:rPr>
              <w:t xml:space="preserve"> Per pallet </w:t>
            </w:r>
          </w:p>
        </w:tc>
      </w:tr>
    </w:tbl>
    <w:p w14:paraId="62FDDEEC" w14:textId="77777777" w:rsidR="00377EE1" w:rsidRDefault="00377EE1" w:rsidP="008F1237"/>
    <w:sectPr w:rsidR="00377EE1" w:rsidSect="00C756F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F8"/>
    <w:rsid w:val="000B5947"/>
    <w:rsid w:val="00145BEB"/>
    <w:rsid w:val="00206B96"/>
    <w:rsid w:val="00377EE1"/>
    <w:rsid w:val="005509D0"/>
    <w:rsid w:val="0065062D"/>
    <w:rsid w:val="00827270"/>
    <w:rsid w:val="008F1237"/>
    <w:rsid w:val="0094669F"/>
    <w:rsid w:val="00A30901"/>
    <w:rsid w:val="00C756F8"/>
    <w:rsid w:val="00CC2B27"/>
    <w:rsid w:val="00F1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C571"/>
  <w15:chartTrackingRefBased/>
  <w15:docId w15:val="{C4D99239-F406-114B-BB24-A41CC186D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56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1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ACCEX</cp:lastModifiedBy>
  <cp:revision>2</cp:revision>
  <dcterms:created xsi:type="dcterms:W3CDTF">2023-12-18T12:05:00Z</dcterms:created>
  <dcterms:modified xsi:type="dcterms:W3CDTF">2023-12-18T12:05:00Z</dcterms:modified>
</cp:coreProperties>
</file>