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 Work (Work-from-Home) Policy</w:t>
      </w:r>
    </w:p>
    <w:p>
      <w:pPr>
        <w:pStyle w:val="Heading2"/>
      </w:pPr>
      <w:r>
        <w:t>Eligibility</w:t>
      </w:r>
    </w:p>
    <w:p>
      <w:r>
        <w:t>Employees who have completed 3 months of service are eligible.</w:t>
        <w:br/>
        <w:t>Must have manager’s written approval for WFH setup.</w:t>
      </w:r>
    </w:p>
    <w:p>
      <w:pPr>
        <w:pStyle w:val="Heading2"/>
      </w:pPr>
      <w:r>
        <w:t>Frequency</w:t>
      </w:r>
    </w:p>
    <w:p>
      <w:r>
        <w:t>Maximum 3 days per week of WFH unless otherwise approved.</w:t>
        <w:br/>
        <w:t>Not allowed during onboarding, training, or performance review weeks.</w:t>
      </w:r>
    </w:p>
    <w:p>
      <w:pPr>
        <w:pStyle w:val="Heading2"/>
      </w:pPr>
      <w:r>
        <w:t>Availability</w:t>
      </w:r>
    </w:p>
    <w:p>
      <w:r>
        <w:t>Employees must be available during regular business hours (10 AM – 6 PM).</w:t>
        <w:br/>
        <w:t>Must attend all mandatory meetings via video conferencing.</w:t>
      </w:r>
    </w:p>
    <w:p>
      <w:pPr>
        <w:pStyle w:val="Heading2"/>
      </w:pPr>
      <w:r>
        <w:t>Equipment and Access</w:t>
      </w:r>
    </w:p>
    <w:p>
      <w:r>
        <w:t>Company laptop and VPN access will be provided.</w:t>
        <w:br/>
        <w:t>Employees are responsible for maintaining internet connectivity.</w:t>
      </w:r>
    </w:p>
    <w:p>
      <w:pPr>
        <w:pStyle w:val="Heading2"/>
      </w:pPr>
      <w:r>
        <w:t>Exceptions</w:t>
      </w:r>
    </w:p>
    <w:p>
      <w:r>
        <w:t>Special cases (e.g., medical, family reasons) must be documented and approved.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