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4EDAF" w14:textId="77777777" w:rsidR="000F7650" w:rsidRDefault="00000000">
      <w:pPr>
        <w:spacing w:after="100"/>
      </w:pPr>
      <w:r>
        <w:rPr>
          <w:b/>
          <w:bCs/>
          <w:color w:val="1F3A6E"/>
          <w:sz w:val="52"/>
          <w:szCs w:val="52"/>
        </w:rPr>
        <w:t>Problem Statement</w:t>
      </w:r>
    </w:p>
    <w:p w14:paraId="4C4F0886" w14:textId="77777777" w:rsidR="000F7650" w:rsidRDefault="00000000">
      <w:pPr>
        <w:spacing w:after="80"/>
      </w:pPr>
      <w:proofErr w:type="spellStart"/>
      <w:r>
        <w:rPr>
          <w:color w:val="2E5FA3"/>
          <w:sz w:val="28"/>
          <w:szCs w:val="28"/>
        </w:rPr>
        <w:t>PulsePay</w:t>
      </w:r>
      <w:proofErr w:type="spellEnd"/>
      <w:r>
        <w:rPr>
          <w:color w:val="2E5FA3"/>
          <w:sz w:val="28"/>
          <w:szCs w:val="28"/>
        </w:rPr>
        <w:t xml:space="preserve"> — Digital Payment Infrastructure Platform</w:t>
      </w:r>
    </w:p>
    <w:p w14:paraId="0F06CE21" w14:textId="77777777" w:rsidR="000F7650" w:rsidRDefault="000F7650">
      <w:pPr>
        <w:pBdr>
          <w:bottom w:val="single" w:sz="4" w:space="1" w:color="2E5FA3"/>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0F7650" w14:paraId="13233D7E"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AF0FB"/>
            <w:tcMar>
              <w:top w:w="100" w:type="dxa"/>
              <w:left w:w="140" w:type="dxa"/>
              <w:bottom w:w="100" w:type="dxa"/>
              <w:right w:w="140" w:type="dxa"/>
            </w:tcMar>
          </w:tcPr>
          <w:p w14:paraId="131E8C7A" w14:textId="77777777" w:rsidR="000F7650" w:rsidRDefault="00000000">
            <w:r>
              <w:rPr>
                <w:b/>
                <w:bCs/>
                <w:color w:val="1F3A6E"/>
                <w:sz w:val="20"/>
                <w:szCs w:val="20"/>
              </w:rPr>
              <w:t>Project</w:t>
            </w:r>
          </w:p>
        </w:tc>
        <w:tc>
          <w:tcPr>
            <w:tcW w:w="686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15FFD88C" w14:textId="77777777" w:rsidR="000F7650" w:rsidRDefault="00000000">
            <w:proofErr w:type="spellStart"/>
            <w:r>
              <w:rPr>
                <w:sz w:val="20"/>
                <w:szCs w:val="20"/>
              </w:rPr>
              <w:t>PulsePay</w:t>
            </w:r>
            <w:proofErr w:type="spellEnd"/>
          </w:p>
        </w:tc>
      </w:tr>
      <w:tr w:rsidR="000F7650" w14:paraId="47CEF9EF"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AF0FB"/>
            <w:tcMar>
              <w:top w:w="100" w:type="dxa"/>
              <w:left w:w="140" w:type="dxa"/>
              <w:bottom w:w="100" w:type="dxa"/>
              <w:right w:w="140" w:type="dxa"/>
            </w:tcMar>
          </w:tcPr>
          <w:p w14:paraId="49FABAF4" w14:textId="77777777" w:rsidR="000F7650" w:rsidRDefault="00000000">
            <w:r>
              <w:rPr>
                <w:b/>
                <w:bCs/>
                <w:color w:val="1F3A6E"/>
                <w:sz w:val="20"/>
                <w:szCs w:val="20"/>
              </w:rPr>
              <w:t>Version</w:t>
            </w:r>
          </w:p>
        </w:tc>
        <w:tc>
          <w:tcPr>
            <w:tcW w:w="686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32E2F49D" w14:textId="77777777" w:rsidR="000F7650" w:rsidRDefault="00000000">
            <w:r>
              <w:rPr>
                <w:sz w:val="20"/>
                <w:szCs w:val="20"/>
              </w:rPr>
              <w:t>1.0 — Initial Release</w:t>
            </w:r>
          </w:p>
        </w:tc>
      </w:tr>
      <w:tr w:rsidR="000F7650" w14:paraId="1C219660"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AF0FB"/>
            <w:tcMar>
              <w:top w:w="100" w:type="dxa"/>
              <w:left w:w="140" w:type="dxa"/>
              <w:bottom w:w="100" w:type="dxa"/>
              <w:right w:w="140" w:type="dxa"/>
            </w:tcMar>
          </w:tcPr>
          <w:p w14:paraId="6A5729ED" w14:textId="77777777" w:rsidR="000F7650" w:rsidRDefault="00000000">
            <w:r>
              <w:rPr>
                <w:b/>
                <w:bCs/>
                <w:color w:val="1F3A6E"/>
                <w:sz w:val="20"/>
                <w:szCs w:val="20"/>
              </w:rPr>
              <w:t>Date</w:t>
            </w:r>
          </w:p>
        </w:tc>
        <w:tc>
          <w:tcPr>
            <w:tcW w:w="686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2CF05CB7" w14:textId="77777777" w:rsidR="000F7650" w:rsidRDefault="00000000">
            <w:r>
              <w:rPr>
                <w:sz w:val="20"/>
                <w:szCs w:val="20"/>
              </w:rPr>
              <w:t>March 2026</w:t>
            </w:r>
          </w:p>
        </w:tc>
      </w:tr>
      <w:tr w:rsidR="000F7650" w14:paraId="398AEB92"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AF0FB"/>
            <w:tcMar>
              <w:top w:w="100" w:type="dxa"/>
              <w:left w:w="140" w:type="dxa"/>
              <w:bottom w:w="100" w:type="dxa"/>
              <w:right w:w="140" w:type="dxa"/>
            </w:tcMar>
          </w:tcPr>
          <w:p w14:paraId="4F9295B3" w14:textId="77777777" w:rsidR="000F7650" w:rsidRDefault="00000000">
            <w:r>
              <w:rPr>
                <w:b/>
                <w:bCs/>
                <w:color w:val="1F3A6E"/>
                <w:sz w:val="20"/>
                <w:szCs w:val="20"/>
              </w:rPr>
              <w:t>Status</w:t>
            </w:r>
          </w:p>
        </w:tc>
        <w:tc>
          <w:tcPr>
            <w:tcW w:w="686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4585D00A" w14:textId="77777777" w:rsidR="000F7650" w:rsidRDefault="00000000">
            <w:r>
              <w:rPr>
                <w:sz w:val="20"/>
                <w:szCs w:val="20"/>
              </w:rPr>
              <w:t>Draft — Under Review</w:t>
            </w:r>
          </w:p>
        </w:tc>
      </w:tr>
      <w:tr w:rsidR="000F7650" w14:paraId="735E18A3"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AF0FB"/>
            <w:tcMar>
              <w:top w:w="100" w:type="dxa"/>
              <w:left w:w="140" w:type="dxa"/>
              <w:bottom w:w="100" w:type="dxa"/>
              <w:right w:w="140" w:type="dxa"/>
            </w:tcMar>
          </w:tcPr>
          <w:p w14:paraId="217C1503" w14:textId="77777777" w:rsidR="000F7650" w:rsidRDefault="00000000">
            <w:r>
              <w:rPr>
                <w:b/>
                <w:bCs/>
                <w:color w:val="1F3A6E"/>
                <w:sz w:val="20"/>
                <w:szCs w:val="20"/>
              </w:rPr>
              <w:t>Author</w:t>
            </w:r>
          </w:p>
        </w:tc>
        <w:tc>
          <w:tcPr>
            <w:tcW w:w="686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303EC6D1" w14:textId="77777777" w:rsidR="000F7650" w:rsidRDefault="00000000">
            <w:proofErr w:type="spellStart"/>
            <w:r>
              <w:rPr>
                <w:sz w:val="20"/>
                <w:szCs w:val="20"/>
              </w:rPr>
              <w:t>PulsePay</w:t>
            </w:r>
            <w:proofErr w:type="spellEnd"/>
            <w:r>
              <w:rPr>
                <w:sz w:val="20"/>
                <w:szCs w:val="20"/>
              </w:rPr>
              <w:t xml:space="preserve"> Engineering Team</w:t>
            </w:r>
          </w:p>
        </w:tc>
      </w:tr>
      <w:tr w:rsidR="000F7650" w14:paraId="563B0955"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AF0FB"/>
            <w:tcMar>
              <w:top w:w="100" w:type="dxa"/>
              <w:left w:w="140" w:type="dxa"/>
              <w:bottom w:w="100" w:type="dxa"/>
              <w:right w:w="140" w:type="dxa"/>
            </w:tcMar>
          </w:tcPr>
          <w:p w14:paraId="7BE427D0" w14:textId="77777777" w:rsidR="000F7650" w:rsidRDefault="00000000">
            <w:r>
              <w:rPr>
                <w:b/>
                <w:bCs/>
                <w:color w:val="1F3A6E"/>
                <w:sz w:val="20"/>
                <w:szCs w:val="20"/>
              </w:rPr>
              <w:t>Stack</w:t>
            </w:r>
          </w:p>
        </w:tc>
        <w:tc>
          <w:tcPr>
            <w:tcW w:w="686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7AD8477A" w14:textId="77777777" w:rsidR="000F7650" w:rsidRDefault="00000000">
            <w:r>
              <w:rPr>
                <w:sz w:val="20"/>
                <w:szCs w:val="20"/>
              </w:rPr>
              <w:t>Spring Boot 3 · Java 21 · Kafka · PostgreSQL · React Native</w:t>
            </w:r>
          </w:p>
        </w:tc>
      </w:tr>
    </w:tbl>
    <w:p w14:paraId="31E1DF04" w14:textId="77777777" w:rsidR="000F7650" w:rsidRDefault="000F7650">
      <w:pPr>
        <w:spacing w:before="240"/>
      </w:pPr>
    </w:p>
    <w:p w14:paraId="41356DD3" w14:textId="77777777" w:rsidR="000F7650" w:rsidRDefault="00000000">
      <w:pPr>
        <w:pStyle w:val="Heading1"/>
        <w:spacing w:before="320" w:after="160"/>
      </w:pPr>
      <w:r>
        <w:rPr>
          <w:b/>
          <w:bCs/>
          <w:color w:val="1F3A6E"/>
        </w:rPr>
        <w:t>1. Executive Summary</w:t>
      </w:r>
    </w:p>
    <w:p w14:paraId="39C31B88" w14:textId="77777777" w:rsidR="000F7650" w:rsidRDefault="00000000">
      <w:pPr>
        <w:spacing w:before="80" w:after="80"/>
      </w:pPr>
      <w:r>
        <w:t>India's digital payments ecosystem has grown at an extraordinary pace, yet the infrastructure serving it remains fragmented, unreliable, and inaccessible to large segments of the population. Small merchants, gig workers, and rural users continue to face high transaction failure rates, opaque fee structures, settlement delays, and inadequate fraud protection. Existing platforms prioritise consumer-facing flows, leaving merchant tooling, real-time reconciliation, and cross-platform interoperability as persistent gaps.</w:t>
      </w:r>
    </w:p>
    <w:p w14:paraId="0D040F1E" w14:textId="7759FFEB" w:rsidR="000F7650" w:rsidRDefault="00000000">
      <w:pPr>
        <w:spacing w:before="80" w:after="80"/>
      </w:pPr>
      <w:proofErr w:type="spellStart"/>
      <w:r>
        <w:t>PulsePay</w:t>
      </w:r>
      <w:proofErr w:type="spellEnd"/>
      <w:r>
        <w:t xml:space="preserve"> is a purpose-built, </w:t>
      </w:r>
      <w:r w:rsidR="00BD374F" w:rsidRPr="00BD374F">
        <w:t>a</w:t>
      </w:r>
      <w:r w:rsidR="00BD374F">
        <w:t>nd a</w:t>
      </w:r>
      <w:r w:rsidR="00BD374F" w:rsidRPr="00BD374F">
        <w:t xml:space="preserve"> simulated multi-rail payment infrastructure designed to demonstrate scalable transaction processing, event-driven architectures, and fraud detection systems.</w:t>
      </w:r>
    </w:p>
    <w:p w14:paraId="6FC4BC26" w14:textId="77777777" w:rsidR="000F7650" w:rsidRDefault="000F7650">
      <w:pPr>
        <w:pBdr>
          <w:bottom w:val="single" w:sz="4" w:space="1" w:color="2E5FA3"/>
        </w:pBdr>
        <w:spacing w:before="160" w:after="160"/>
      </w:pPr>
    </w:p>
    <w:p w14:paraId="6972FE3B" w14:textId="77777777" w:rsidR="000F7650" w:rsidRDefault="00000000">
      <w:pPr>
        <w:pStyle w:val="Heading1"/>
        <w:spacing w:before="320" w:after="160"/>
      </w:pPr>
      <w:r>
        <w:rPr>
          <w:b/>
          <w:bCs/>
          <w:color w:val="1F3A6E"/>
        </w:rPr>
        <w:t>2. Background &amp; Context</w:t>
      </w:r>
    </w:p>
    <w:p w14:paraId="7B900428" w14:textId="77777777" w:rsidR="000F7650" w:rsidRDefault="00000000">
      <w:pPr>
        <w:spacing w:before="80" w:after="80"/>
      </w:pPr>
      <w:r>
        <w:t xml:space="preserve">The Indian fintech market processed over 100 billion UPI transactions in FY 2024-25. Despite this volume, </w:t>
      </w:r>
      <w:proofErr w:type="gramStart"/>
      <w:r>
        <w:t>the majority of</w:t>
      </w:r>
      <w:proofErr w:type="gramEnd"/>
      <w:r>
        <w:t xml:space="preserve"> transaction infrastructure is concentrated in three to four dominant platforms. This concentration creates systemic risk, limits innovation at the edges, and excludes underserved cohorts including micro-merchants, self-help groups, and freelance professionals who lack access to tailored financial products.</w:t>
      </w:r>
    </w:p>
    <w:p w14:paraId="5EFC73DB" w14:textId="77777777" w:rsidR="000F7650" w:rsidRDefault="00000000">
      <w:pPr>
        <w:spacing w:before="80" w:after="80"/>
      </w:pPr>
      <w:r>
        <w:t>Regulatory frameworks such as RBI's Payment Aggregator guidelines, PCI-DSS requirements, and DPDP Act obligations have raised the compliance bar significantly. Smaller payment operators and new entrants struggle to meet these requirements without purpose-built infrastructure. There is a clear market need for a platform that is compliance-first, developer-friendly, and capable of operating at scale without the technical debt of legacy architectures.</w:t>
      </w:r>
    </w:p>
    <w:p w14:paraId="15F5862E" w14:textId="77777777" w:rsidR="000F7650" w:rsidRDefault="000F7650">
      <w:pPr>
        <w:pBdr>
          <w:bottom w:val="single" w:sz="4" w:space="1" w:color="2E5FA3"/>
        </w:pBdr>
        <w:spacing w:before="160" w:after="160"/>
      </w:pPr>
    </w:p>
    <w:p w14:paraId="07296297" w14:textId="77777777" w:rsidR="000F7650" w:rsidRDefault="00000000">
      <w:pPr>
        <w:pStyle w:val="Heading1"/>
        <w:spacing w:before="320" w:after="160"/>
      </w:pPr>
      <w:r>
        <w:rPr>
          <w:b/>
          <w:bCs/>
          <w:color w:val="1F3A6E"/>
        </w:rPr>
        <w:t>3. Core Problem Statement</w:t>
      </w:r>
    </w:p>
    <w:p w14:paraId="59B7E018" w14:textId="77777777" w:rsidR="000F7650" w:rsidRDefault="00000000">
      <w:pPr>
        <w:pBdr>
          <w:left w:val="single" w:sz="12" w:space="10" w:color="2E5FA3"/>
        </w:pBdr>
        <w:shd w:val="clear" w:color="auto" w:fill="EAF0FB"/>
        <w:spacing w:before="120" w:after="200"/>
        <w:ind w:left="360"/>
      </w:pPr>
      <w:r>
        <w:rPr>
          <w:i/>
          <w:iCs/>
          <w:color w:val="1F3A6E"/>
          <w:sz w:val="23"/>
          <w:szCs w:val="23"/>
        </w:rPr>
        <w:t xml:space="preserve">How do we build a scalable, resilient, and compliant payment infrastructure that enables real-time payment processing, multi-rail settlement, fraud detection, and financial inclusion </w:t>
      </w:r>
      <w:r>
        <w:rPr>
          <w:i/>
          <w:iCs/>
          <w:color w:val="1F3A6E"/>
          <w:sz w:val="23"/>
          <w:szCs w:val="23"/>
        </w:rPr>
        <w:lastRenderedPageBreak/>
        <w:t>— for consumers, merchants, and partners — without sacrificing developer experience, regulatory compliance, or operational transparency?</w:t>
      </w:r>
    </w:p>
    <w:p w14:paraId="7E1CDD1F" w14:textId="77777777" w:rsidR="000F7650" w:rsidRDefault="000F7650">
      <w:pPr>
        <w:pBdr>
          <w:bottom w:val="single" w:sz="4" w:space="1" w:color="2E5FA3"/>
        </w:pBdr>
        <w:spacing w:before="160" w:after="160"/>
      </w:pPr>
    </w:p>
    <w:p w14:paraId="345BD763" w14:textId="77777777" w:rsidR="000F7650" w:rsidRDefault="00000000">
      <w:pPr>
        <w:pStyle w:val="Heading1"/>
        <w:spacing w:before="320" w:after="160"/>
      </w:pPr>
      <w:r>
        <w:rPr>
          <w:b/>
          <w:bCs/>
          <w:color w:val="1F3A6E"/>
        </w:rPr>
        <w:t>4. Key Challenges</w:t>
      </w:r>
    </w:p>
    <w:p w14:paraId="4262C4CF" w14:textId="77777777" w:rsidR="000F7650" w:rsidRDefault="00000000">
      <w:pPr>
        <w:spacing w:before="80" w:after="80"/>
      </w:pPr>
      <w:r>
        <w:t xml:space="preserve">The following challenges define the scope and complexity of the problem </w:t>
      </w:r>
      <w:proofErr w:type="spellStart"/>
      <w:r>
        <w:t>PulsePay</w:t>
      </w:r>
      <w:proofErr w:type="spellEnd"/>
      <w:r>
        <w:t xml:space="preserve"> must solve:</w:t>
      </w:r>
    </w:p>
    <w:p w14:paraId="62251CDA" w14:textId="77777777" w:rsidR="000F7650" w:rsidRDefault="000F765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3900"/>
        <w:gridCol w:w="4900"/>
      </w:tblGrid>
      <w:tr w:rsidR="000F7650" w14:paraId="65D01533"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A6E"/>
            <w:tcMar>
              <w:top w:w="100" w:type="dxa"/>
              <w:left w:w="140" w:type="dxa"/>
              <w:bottom w:w="100" w:type="dxa"/>
              <w:right w:w="140" w:type="dxa"/>
            </w:tcMar>
          </w:tcPr>
          <w:p w14:paraId="44D0C75D" w14:textId="77777777" w:rsidR="000F7650" w:rsidRDefault="00000000">
            <w:pPr>
              <w:jc w:val="center"/>
            </w:pPr>
            <w:r>
              <w:rPr>
                <w:b/>
                <w:bCs/>
                <w:color w:val="FFFFFF"/>
                <w:sz w:val="20"/>
                <w:szCs w:val="20"/>
              </w:rPr>
              <w:t>#</w:t>
            </w:r>
          </w:p>
        </w:tc>
        <w:tc>
          <w:tcPr>
            <w:tcW w:w="3900" w:type="dxa"/>
            <w:tcBorders>
              <w:top w:val="single" w:sz="1" w:space="0" w:color="DDDDDD"/>
              <w:left w:val="single" w:sz="1" w:space="0" w:color="DDDDDD"/>
              <w:bottom w:val="single" w:sz="1" w:space="0" w:color="DDDDDD"/>
              <w:right w:val="single" w:sz="1" w:space="0" w:color="DDDDDD"/>
            </w:tcBorders>
            <w:shd w:val="clear" w:color="auto" w:fill="1F3A6E"/>
            <w:tcMar>
              <w:top w:w="100" w:type="dxa"/>
              <w:left w:w="140" w:type="dxa"/>
              <w:bottom w:w="100" w:type="dxa"/>
              <w:right w:w="140" w:type="dxa"/>
            </w:tcMar>
          </w:tcPr>
          <w:p w14:paraId="187D1168" w14:textId="77777777" w:rsidR="000F7650" w:rsidRDefault="00000000">
            <w:r>
              <w:rPr>
                <w:b/>
                <w:bCs/>
                <w:color w:val="FFFFFF"/>
                <w:sz w:val="20"/>
                <w:szCs w:val="20"/>
              </w:rPr>
              <w:t>Challenge</w:t>
            </w:r>
          </w:p>
        </w:tc>
        <w:tc>
          <w:tcPr>
            <w:tcW w:w="4900" w:type="dxa"/>
            <w:tcBorders>
              <w:top w:val="single" w:sz="1" w:space="0" w:color="DDDDDD"/>
              <w:left w:val="single" w:sz="1" w:space="0" w:color="DDDDDD"/>
              <w:bottom w:val="single" w:sz="1" w:space="0" w:color="DDDDDD"/>
              <w:right w:val="single" w:sz="1" w:space="0" w:color="DDDDDD"/>
            </w:tcBorders>
            <w:shd w:val="clear" w:color="auto" w:fill="1F3A6E"/>
            <w:tcMar>
              <w:top w:w="100" w:type="dxa"/>
              <w:left w:w="140" w:type="dxa"/>
              <w:bottom w:w="100" w:type="dxa"/>
              <w:right w:w="140" w:type="dxa"/>
            </w:tcMar>
          </w:tcPr>
          <w:p w14:paraId="1111755C" w14:textId="77777777" w:rsidR="000F7650" w:rsidRDefault="00000000">
            <w:r>
              <w:rPr>
                <w:b/>
                <w:bCs/>
                <w:color w:val="FFFFFF"/>
                <w:sz w:val="20"/>
                <w:szCs w:val="20"/>
              </w:rPr>
              <w:t>Business Impact</w:t>
            </w:r>
          </w:p>
        </w:tc>
      </w:tr>
      <w:tr w:rsidR="000F7650" w14:paraId="3B6FC53B"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A6E"/>
            <w:tcMar>
              <w:top w:w="100" w:type="dxa"/>
              <w:left w:w="140" w:type="dxa"/>
              <w:bottom w:w="100" w:type="dxa"/>
              <w:right w:w="140" w:type="dxa"/>
            </w:tcMar>
            <w:vAlign w:val="center"/>
          </w:tcPr>
          <w:p w14:paraId="7ACA2A01" w14:textId="77777777" w:rsidR="000F7650" w:rsidRDefault="00000000">
            <w:pPr>
              <w:jc w:val="center"/>
            </w:pPr>
            <w:r>
              <w:rPr>
                <w:b/>
                <w:bCs/>
                <w:color w:val="FFFFFF"/>
              </w:rPr>
              <w:t>1</w:t>
            </w:r>
          </w:p>
        </w:tc>
        <w:tc>
          <w:tcPr>
            <w:tcW w:w="390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38BA5875" w14:textId="77777777" w:rsidR="000F7650" w:rsidRDefault="00000000">
            <w:r>
              <w:rPr>
                <w:sz w:val="20"/>
                <w:szCs w:val="20"/>
              </w:rPr>
              <w:t>High transaction failure rates (3–8%) on UPI and card rails due to bank downtime, timeout mismatches, and absent retry logic.</w:t>
            </w:r>
          </w:p>
        </w:tc>
        <w:tc>
          <w:tcPr>
            <w:tcW w:w="49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5FE05027" w14:textId="77777777" w:rsidR="000F7650" w:rsidRDefault="00000000">
            <w:r>
              <w:rPr>
                <w:color w:val="7A4510"/>
                <w:sz w:val="20"/>
                <w:szCs w:val="20"/>
              </w:rPr>
              <w:t>Revenue leakage, user churn, merchant dissatisfaction.</w:t>
            </w:r>
          </w:p>
        </w:tc>
      </w:tr>
      <w:tr w:rsidR="000F7650" w14:paraId="2BE4AD33"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A6E"/>
            <w:tcMar>
              <w:top w:w="100" w:type="dxa"/>
              <w:left w:w="140" w:type="dxa"/>
              <w:bottom w:w="100" w:type="dxa"/>
              <w:right w:w="140" w:type="dxa"/>
            </w:tcMar>
            <w:vAlign w:val="center"/>
          </w:tcPr>
          <w:p w14:paraId="49EE32D6" w14:textId="77777777" w:rsidR="000F7650" w:rsidRDefault="00000000">
            <w:pPr>
              <w:jc w:val="center"/>
            </w:pPr>
            <w:r>
              <w:rPr>
                <w:b/>
                <w:bCs/>
                <w:color w:val="FFFFFF"/>
              </w:rPr>
              <w:t>2</w:t>
            </w:r>
          </w:p>
        </w:tc>
        <w:tc>
          <w:tcPr>
            <w:tcW w:w="390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522123BE" w14:textId="77777777" w:rsidR="000F7650" w:rsidRDefault="00000000">
            <w:r>
              <w:rPr>
                <w:sz w:val="20"/>
                <w:szCs w:val="20"/>
              </w:rPr>
              <w:t>Settlement delays of T+1 to T+3 due to manual reconciliation and absence of a real-time ledger engine.</w:t>
            </w:r>
          </w:p>
        </w:tc>
        <w:tc>
          <w:tcPr>
            <w:tcW w:w="49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5C650E5B" w14:textId="77777777" w:rsidR="000F7650" w:rsidRDefault="00000000">
            <w:r>
              <w:rPr>
                <w:color w:val="7A4510"/>
                <w:sz w:val="20"/>
                <w:szCs w:val="20"/>
              </w:rPr>
              <w:t>Merchant cash flow constraints; onboarding friction.</w:t>
            </w:r>
          </w:p>
        </w:tc>
      </w:tr>
      <w:tr w:rsidR="000F7650" w14:paraId="635210FD"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A6E"/>
            <w:tcMar>
              <w:top w:w="100" w:type="dxa"/>
              <w:left w:w="140" w:type="dxa"/>
              <w:bottom w:w="100" w:type="dxa"/>
              <w:right w:w="140" w:type="dxa"/>
            </w:tcMar>
            <w:vAlign w:val="center"/>
          </w:tcPr>
          <w:p w14:paraId="7ED545D4" w14:textId="77777777" w:rsidR="000F7650" w:rsidRDefault="00000000">
            <w:pPr>
              <w:jc w:val="center"/>
            </w:pPr>
            <w:r>
              <w:rPr>
                <w:b/>
                <w:bCs/>
                <w:color w:val="FFFFFF"/>
              </w:rPr>
              <w:t>3</w:t>
            </w:r>
          </w:p>
        </w:tc>
        <w:tc>
          <w:tcPr>
            <w:tcW w:w="390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56E4E115" w14:textId="77777777" w:rsidR="000F7650" w:rsidRDefault="00000000">
            <w:r>
              <w:rPr>
                <w:sz w:val="20"/>
                <w:szCs w:val="20"/>
              </w:rPr>
              <w:t>Fraud detection relies on static rules that fail to catch evolving attack vectors such as account takeover and synthetic identity fraud.</w:t>
            </w:r>
          </w:p>
        </w:tc>
        <w:tc>
          <w:tcPr>
            <w:tcW w:w="49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259BC144" w14:textId="77777777" w:rsidR="000F7650" w:rsidRDefault="00000000">
            <w:r>
              <w:rPr>
                <w:color w:val="7A4510"/>
                <w:sz w:val="20"/>
                <w:szCs w:val="20"/>
              </w:rPr>
              <w:t>Financial loss, regulatory scrutiny, reputational damage.</w:t>
            </w:r>
          </w:p>
        </w:tc>
      </w:tr>
      <w:tr w:rsidR="000F7650" w14:paraId="38124A1D"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A6E"/>
            <w:tcMar>
              <w:top w:w="100" w:type="dxa"/>
              <w:left w:w="140" w:type="dxa"/>
              <w:bottom w:w="100" w:type="dxa"/>
              <w:right w:w="140" w:type="dxa"/>
            </w:tcMar>
            <w:vAlign w:val="center"/>
          </w:tcPr>
          <w:p w14:paraId="5E629818" w14:textId="77777777" w:rsidR="000F7650" w:rsidRDefault="00000000">
            <w:pPr>
              <w:jc w:val="center"/>
            </w:pPr>
            <w:r>
              <w:rPr>
                <w:b/>
                <w:bCs/>
                <w:color w:val="FFFFFF"/>
              </w:rPr>
              <w:t>4</w:t>
            </w:r>
          </w:p>
        </w:tc>
        <w:tc>
          <w:tcPr>
            <w:tcW w:w="390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0771B6ED" w14:textId="77777777" w:rsidR="000F7650" w:rsidRDefault="00000000">
            <w:r>
              <w:rPr>
                <w:sz w:val="20"/>
                <w:szCs w:val="20"/>
              </w:rPr>
              <w:t>No unified event stream across payment, wallet, and notification domains — making audit, debugging, and analytics extremely difficult.</w:t>
            </w:r>
          </w:p>
        </w:tc>
        <w:tc>
          <w:tcPr>
            <w:tcW w:w="49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30834C49" w14:textId="77777777" w:rsidR="000F7650" w:rsidRDefault="00000000">
            <w:r>
              <w:rPr>
                <w:color w:val="7A4510"/>
                <w:sz w:val="20"/>
                <w:szCs w:val="20"/>
              </w:rPr>
              <w:t>Compliance gaps, slow incident response, poor observability.</w:t>
            </w:r>
          </w:p>
        </w:tc>
      </w:tr>
      <w:tr w:rsidR="000F7650" w14:paraId="252BB9B3"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A6E"/>
            <w:tcMar>
              <w:top w:w="100" w:type="dxa"/>
              <w:left w:w="140" w:type="dxa"/>
              <w:bottom w:w="100" w:type="dxa"/>
              <w:right w:w="140" w:type="dxa"/>
            </w:tcMar>
            <w:vAlign w:val="center"/>
          </w:tcPr>
          <w:p w14:paraId="30B1F9DA" w14:textId="77777777" w:rsidR="000F7650" w:rsidRDefault="00000000">
            <w:pPr>
              <w:jc w:val="center"/>
            </w:pPr>
            <w:r>
              <w:rPr>
                <w:b/>
                <w:bCs/>
                <w:color w:val="FFFFFF"/>
              </w:rPr>
              <w:t>5</w:t>
            </w:r>
          </w:p>
        </w:tc>
        <w:tc>
          <w:tcPr>
            <w:tcW w:w="390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36CAE654" w14:textId="77777777" w:rsidR="000F7650" w:rsidRDefault="00000000">
            <w:r>
              <w:rPr>
                <w:sz w:val="20"/>
                <w:szCs w:val="20"/>
              </w:rPr>
              <w:t>Fragmented multi-rail support — UPI, cards, net banking, wallets, and BNPL operate as independent integrations with no shared transaction context.</w:t>
            </w:r>
          </w:p>
        </w:tc>
        <w:tc>
          <w:tcPr>
            <w:tcW w:w="49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20F2FEF5" w14:textId="77777777" w:rsidR="000F7650" w:rsidRDefault="00000000">
            <w:r>
              <w:rPr>
                <w:color w:val="7A4510"/>
                <w:sz w:val="20"/>
                <w:szCs w:val="20"/>
              </w:rPr>
              <w:t>Inconsistent user experience; high integration cost for merchants.</w:t>
            </w:r>
          </w:p>
        </w:tc>
      </w:tr>
      <w:tr w:rsidR="000F7650" w14:paraId="11285A81"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A6E"/>
            <w:tcMar>
              <w:top w:w="100" w:type="dxa"/>
              <w:left w:w="140" w:type="dxa"/>
              <w:bottom w:w="100" w:type="dxa"/>
              <w:right w:w="140" w:type="dxa"/>
            </w:tcMar>
            <w:vAlign w:val="center"/>
          </w:tcPr>
          <w:p w14:paraId="197FC073" w14:textId="77777777" w:rsidR="000F7650" w:rsidRDefault="00000000">
            <w:pPr>
              <w:jc w:val="center"/>
            </w:pPr>
            <w:r>
              <w:rPr>
                <w:b/>
                <w:bCs/>
                <w:color w:val="FFFFFF"/>
              </w:rPr>
              <w:t>6</w:t>
            </w:r>
          </w:p>
        </w:tc>
        <w:tc>
          <w:tcPr>
            <w:tcW w:w="390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5506CD00" w14:textId="77777777" w:rsidR="000F7650" w:rsidRDefault="00000000">
            <w:r>
              <w:rPr>
                <w:sz w:val="20"/>
                <w:szCs w:val="20"/>
              </w:rPr>
              <w:t>KYC and onboarding flows are not standardised, leading to drop-offs, repeated data entry, and compliance risk.</w:t>
            </w:r>
          </w:p>
        </w:tc>
        <w:tc>
          <w:tcPr>
            <w:tcW w:w="49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00F34EF2" w14:textId="77777777" w:rsidR="000F7650" w:rsidRDefault="00000000">
            <w:r>
              <w:rPr>
                <w:color w:val="7A4510"/>
                <w:sz w:val="20"/>
                <w:szCs w:val="20"/>
              </w:rPr>
              <w:t>Poor conversion, regulatory exposure, delayed activation.</w:t>
            </w:r>
          </w:p>
        </w:tc>
      </w:tr>
      <w:tr w:rsidR="000F7650" w14:paraId="3F090132"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A6E"/>
            <w:tcMar>
              <w:top w:w="100" w:type="dxa"/>
              <w:left w:w="140" w:type="dxa"/>
              <w:bottom w:w="100" w:type="dxa"/>
              <w:right w:w="140" w:type="dxa"/>
            </w:tcMar>
            <w:vAlign w:val="center"/>
          </w:tcPr>
          <w:p w14:paraId="5424D05E" w14:textId="77777777" w:rsidR="000F7650" w:rsidRDefault="00000000">
            <w:pPr>
              <w:jc w:val="center"/>
            </w:pPr>
            <w:r>
              <w:rPr>
                <w:b/>
                <w:bCs/>
                <w:color w:val="FFFFFF"/>
              </w:rPr>
              <w:t>7</w:t>
            </w:r>
          </w:p>
        </w:tc>
        <w:tc>
          <w:tcPr>
            <w:tcW w:w="390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235A92C2" w14:textId="77777777" w:rsidR="000F7650" w:rsidRDefault="00000000">
            <w:r>
              <w:rPr>
                <w:sz w:val="20"/>
                <w:szCs w:val="20"/>
              </w:rPr>
              <w:t>Absence of developer-grade APIs, SDKs, and sandbox environments limits merchant and partner ecosystem growth.</w:t>
            </w:r>
          </w:p>
        </w:tc>
        <w:tc>
          <w:tcPr>
            <w:tcW w:w="49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64BCEE26" w14:textId="77777777" w:rsidR="000F7650" w:rsidRDefault="00000000">
            <w:r>
              <w:rPr>
                <w:color w:val="7A4510"/>
                <w:sz w:val="20"/>
                <w:szCs w:val="20"/>
              </w:rPr>
              <w:t>Slow partner acquisition; high integration failure rate.</w:t>
            </w:r>
          </w:p>
        </w:tc>
      </w:tr>
      <w:tr w:rsidR="000F7650" w14:paraId="0DB2FD32"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1F3A6E"/>
            <w:tcMar>
              <w:top w:w="100" w:type="dxa"/>
              <w:left w:w="140" w:type="dxa"/>
              <w:bottom w:w="100" w:type="dxa"/>
              <w:right w:w="140" w:type="dxa"/>
            </w:tcMar>
            <w:vAlign w:val="center"/>
          </w:tcPr>
          <w:p w14:paraId="577FA963" w14:textId="77777777" w:rsidR="000F7650" w:rsidRDefault="00000000">
            <w:pPr>
              <w:jc w:val="center"/>
            </w:pPr>
            <w:r>
              <w:rPr>
                <w:b/>
                <w:bCs/>
                <w:color w:val="FFFFFF"/>
              </w:rPr>
              <w:t>8</w:t>
            </w:r>
          </w:p>
        </w:tc>
        <w:tc>
          <w:tcPr>
            <w:tcW w:w="390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57922D14" w14:textId="77777777" w:rsidR="000F7650" w:rsidRDefault="00000000">
            <w:r>
              <w:rPr>
                <w:sz w:val="20"/>
                <w:szCs w:val="20"/>
              </w:rPr>
              <w:t>No centralised configuration, secret management, or service discovery — each service manages its own config independently.</w:t>
            </w:r>
          </w:p>
        </w:tc>
        <w:tc>
          <w:tcPr>
            <w:tcW w:w="4900" w:type="dxa"/>
            <w:tcBorders>
              <w:top w:val="single" w:sz="1" w:space="0" w:color="DDDDDD"/>
              <w:left w:val="single" w:sz="1" w:space="0" w:color="DDDDDD"/>
              <w:bottom w:val="single" w:sz="1" w:space="0" w:color="DDDDDD"/>
              <w:right w:val="single" w:sz="1" w:space="0" w:color="DDDDDD"/>
            </w:tcBorders>
            <w:shd w:val="clear" w:color="auto" w:fill="FDF6EC"/>
            <w:tcMar>
              <w:top w:w="100" w:type="dxa"/>
              <w:left w:w="140" w:type="dxa"/>
              <w:bottom w:w="100" w:type="dxa"/>
              <w:right w:w="140" w:type="dxa"/>
            </w:tcMar>
          </w:tcPr>
          <w:p w14:paraId="1DD84A9C" w14:textId="77777777" w:rsidR="000F7650" w:rsidRDefault="00000000">
            <w:r>
              <w:rPr>
                <w:color w:val="7A4510"/>
                <w:sz w:val="20"/>
                <w:szCs w:val="20"/>
              </w:rPr>
              <w:t>Operational toil, environment drift, security vulnerabilities.</w:t>
            </w:r>
          </w:p>
        </w:tc>
      </w:tr>
    </w:tbl>
    <w:p w14:paraId="26A81552" w14:textId="77777777" w:rsidR="000F7650" w:rsidRDefault="000F7650">
      <w:pPr>
        <w:spacing w:before="240"/>
      </w:pPr>
    </w:p>
    <w:p w14:paraId="1946C06F" w14:textId="77777777" w:rsidR="000F7650" w:rsidRDefault="000F7650">
      <w:pPr>
        <w:pBdr>
          <w:bottom w:val="single" w:sz="4" w:space="1" w:color="2E5FA3"/>
        </w:pBdr>
        <w:spacing w:before="160" w:after="160"/>
      </w:pPr>
    </w:p>
    <w:p w14:paraId="4A512D67" w14:textId="77777777" w:rsidR="000F7650" w:rsidRDefault="00000000">
      <w:pPr>
        <w:pStyle w:val="Heading1"/>
        <w:spacing w:before="320" w:after="160"/>
      </w:pPr>
      <w:r>
        <w:rPr>
          <w:b/>
          <w:bCs/>
          <w:color w:val="1F3A6E"/>
        </w:rPr>
        <w:t>5. Stakeholders &amp; Their Pain Points</w:t>
      </w:r>
    </w:p>
    <w:p w14:paraId="2747A269" w14:textId="77777777" w:rsidR="000F7650" w:rsidRDefault="00000000">
      <w:pPr>
        <w:pStyle w:val="Heading2"/>
        <w:spacing w:before="240" w:after="120"/>
      </w:pPr>
      <w:r>
        <w:rPr>
          <w:b/>
          <w:bCs/>
          <w:color w:val="2E5FA3"/>
        </w:rPr>
        <w:lastRenderedPageBreak/>
        <w:t>5.1 Consumers</w:t>
      </w:r>
    </w:p>
    <w:p w14:paraId="022E4F65" w14:textId="77777777" w:rsidR="000F7650" w:rsidRDefault="00000000">
      <w:pPr>
        <w:pStyle w:val="ListParagraph"/>
        <w:numPr>
          <w:ilvl w:val="0"/>
          <w:numId w:val="2"/>
        </w:numPr>
        <w:spacing w:before="60" w:after="60"/>
      </w:pPr>
      <w:r>
        <w:t>Experience payment failures with no clear feedback or retry guidance.</w:t>
      </w:r>
    </w:p>
    <w:p w14:paraId="45A8807A" w14:textId="77777777" w:rsidR="000F7650" w:rsidRDefault="00000000">
      <w:pPr>
        <w:pStyle w:val="ListParagraph"/>
        <w:numPr>
          <w:ilvl w:val="0"/>
          <w:numId w:val="2"/>
        </w:numPr>
        <w:spacing w:before="60" w:after="60"/>
      </w:pPr>
      <w:r>
        <w:t>Lack transparency into transaction status, fees, and refund timelines.</w:t>
      </w:r>
    </w:p>
    <w:p w14:paraId="6C55974B" w14:textId="77777777" w:rsidR="000F7650" w:rsidRDefault="00000000">
      <w:pPr>
        <w:pStyle w:val="ListParagraph"/>
        <w:numPr>
          <w:ilvl w:val="0"/>
          <w:numId w:val="2"/>
        </w:numPr>
        <w:spacing w:before="60" w:after="60"/>
      </w:pPr>
      <w:r>
        <w:t>No single wallet or spending dashboard across payment rails.</w:t>
      </w:r>
    </w:p>
    <w:p w14:paraId="2A9A1A53" w14:textId="77777777" w:rsidR="000F7650" w:rsidRDefault="00000000">
      <w:pPr>
        <w:pStyle w:val="Heading2"/>
        <w:spacing w:before="240" w:after="120"/>
      </w:pPr>
      <w:r>
        <w:rPr>
          <w:b/>
          <w:bCs/>
          <w:color w:val="2E5FA3"/>
        </w:rPr>
        <w:t>5.2 Merchants</w:t>
      </w:r>
    </w:p>
    <w:p w14:paraId="74F0A237" w14:textId="77777777" w:rsidR="000F7650" w:rsidRDefault="00000000">
      <w:pPr>
        <w:pStyle w:val="ListParagraph"/>
        <w:numPr>
          <w:ilvl w:val="0"/>
          <w:numId w:val="2"/>
        </w:numPr>
        <w:spacing w:before="60" w:after="60"/>
      </w:pPr>
      <w:r>
        <w:t>T+1 or later settlement cycles disrupt daily operations and working capital.</w:t>
      </w:r>
    </w:p>
    <w:p w14:paraId="4E8BFD6F" w14:textId="77777777" w:rsidR="000F7650" w:rsidRDefault="00000000">
      <w:pPr>
        <w:pStyle w:val="ListParagraph"/>
        <w:numPr>
          <w:ilvl w:val="0"/>
          <w:numId w:val="2"/>
        </w:numPr>
        <w:spacing w:before="60" w:after="60"/>
      </w:pPr>
      <w:r>
        <w:t>High integration effort to support multiple payment methods.</w:t>
      </w:r>
    </w:p>
    <w:p w14:paraId="6B866310" w14:textId="77777777" w:rsidR="000F7650" w:rsidRDefault="00000000">
      <w:pPr>
        <w:pStyle w:val="ListParagraph"/>
        <w:numPr>
          <w:ilvl w:val="0"/>
          <w:numId w:val="2"/>
        </w:numPr>
        <w:spacing w:before="60" w:after="60"/>
      </w:pPr>
      <w:r>
        <w:t>No access to real-time analytics, chargeback management, or reconciliation tools.</w:t>
      </w:r>
    </w:p>
    <w:p w14:paraId="1D93518E" w14:textId="77777777" w:rsidR="000F7650" w:rsidRDefault="00000000">
      <w:pPr>
        <w:pStyle w:val="Heading2"/>
        <w:spacing w:before="240" w:after="120"/>
      </w:pPr>
      <w:r>
        <w:rPr>
          <w:b/>
          <w:bCs/>
          <w:color w:val="2E5FA3"/>
        </w:rPr>
        <w:t>5.3 Financial Partners &amp; Banks</w:t>
      </w:r>
    </w:p>
    <w:p w14:paraId="37AC6810" w14:textId="77777777" w:rsidR="000F7650" w:rsidRDefault="00000000">
      <w:pPr>
        <w:pStyle w:val="ListParagraph"/>
        <w:numPr>
          <w:ilvl w:val="0"/>
          <w:numId w:val="2"/>
        </w:numPr>
        <w:spacing w:before="60" w:after="60"/>
      </w:pPr>
      <w:r>
        <w:t>Difficulty consuming transaction events in real time for risk and compliance purposes.</w:t>
      </w:r>
    </w:p>
    <w:p w14:paraId="6C20FF7B" w14:textId="77777777" w:rsidR="000F7650" w:rsidRDefault="00000000">
      <w:pPr>
        <w:pStyle w:val="ListParagraph"/>
        <w:numPr>
          <w:ilvl w:val="0"/>
          <w:numId w:val="2"/>
        </w:numPr>
        <w:spacing w:before="60" w:after="60"/>
      </w:pPr>
      <w:r>
        <w:t>No standardised event contract or webhook reliability guarantees.</w:t>
      </w:r>
    </w:p>
    <w:p w14:paraId="48F61170" w14:textId="77777777" w:rsidR="000F7650" w:rsidRDefault="00000000">
      <w:pPr>
        <w:pStyle w:val="Heading2"/>
        <w:spacing w:before="240" w:after="120"/>
      </w:pPr>
      <w:r>
        <w:rPr>
          <w:b/>
          <w:bCs/>
          <w:color w:val="2E5FA3"/>
        </w:rPr>
        <w:t>5.4 Compliance &amp; Operations Teams</w:t>
      </w:r>
    </w:p>
    <w:p w14:paraId="2307C3FD" w14:textId="77777777" w:rsidR="000F7650" w:rsidRDefault="00000000">
      <w:pPr>
        <w:pStyle w:val="ListParagraph"/>
        <w:numPr>
          <w:ilvl w:val="0"/>
          <w:numId w:val="2"/>
        </w:numPr>
        <w:spacing w:before="60" w:after="60"/>
      </w:pPr>
      <w:r>
        <w:t>Audit trails are incomplete or scattered across multiple services and databases.</w:t>
      </w:r>
    </w:p>
    <w:p w14:paraId="7BF693A1" w14:textId="77777777" w:rsidR="000F7650" w:rsidRDefault="00000000">
      <w:pPr>
        <w:pStyle w:val="ListParagraph"/>
        <w:numPr>
          <w:ilvl w:val="0"/>
          <w:numId w:val="2"/>
        </w:numPr>
        <w:spacing w:before="60" w:after="60"/>
      </w:pPr>
      <w:r>
        <w:t>No centralised dashboard for fraud signals, transaction anomalies, or PCI-DSS compliance status.</w:t>
      </w:r>
    </w:p>
    <w:p w14:paraId="3D8A75B5" w14:textId="77777777" w:rsidR="000F7650" w:rsidRDefault="000F7650">
      <w:pPr>
        <w:pBdr>
          <w:bottom w:val="single" w:sz="4" w:space="1" w:color="2E5FA3"/>
        </w:pBdr>
        <w:spacing w:before="160" w:after="160"/>
      </w:pPr>
    </w:p>
    <w:p w14:paraId="03D28217" w14:textId="77777777" w:rsidR="000F7650" w:rsidRDefault="00000000">
      <w:pPr>
        <w:pStyle w:val="Heading1"/>
        <w:spacing w:before="320" w:after="160"/>
      </w:pPr>
      <w:r>
        <w:rPr>
          <w:b/>
          <w:bCs/>
          <w:color w:val="1F3A6E"/>
        </w:rPr>
        <w:t>6. Goals &amp; Success Criteria</w:t>
      </w:r>
    </w:p>
    <w:p w14:paraId="3DD55DF5" w14:textId="77777777" w:rsidR="000F7650" w:rsidRDefault="00000000">
      <w:pPr>
        <w:spacing w:before="80" w:after="80"/>
      </w:pPr>
      <w:proofErr w:type="spellStart"/>
      <w:r>
        <w:t>PulsePay</w:t>
      </w:r>
      <w:proofErr w:type="spellEnd"/>
      <w:r>
        <w:t xml:space="preserve"> must demonstrably solve the above challenges. The following measurable goals define success:</w:t>
      </w:r>
    </w:p>
    <w:p w14:paraId="3D826349" w14:textId="77777777" w:rsidR="000F7650" w:rsidRDefault="000F7650">
      <w:pPr>
        <w:spacing w:before="80"/>
      </w:pPr>
    </w:p>
    <w:p w14:paraId="4E27B4D8" w14:textId="77777777" w:rsidR="000F7650" w:rsidRDefault="00000000">
      <w:pPr>
        <w:pStyle w:val="ListParagraph"/>
        <w:numPr>
          <w:ilvl w:val="0"/>
          <w:numId w:val="2"/>
        </w:numPr>
        <w:spacing w:before="60" w:after="60"/>
      </w:pPr>
      <w:r>
        <w:rPr>
          <w:b/>
          <w:bCs/>
        </w:rPr>
        <w:t xml:space="preserve">≥ 99.2%: </w:t>
      </w:r>
      <w:r>
        <w:t>Transaction success rate</w:t>
      </w:r>
    </w:p>
    <w:p w14:paraId="6451ADB0" w14:textId="77777777" w:rsidR="000F7650" w:rsidRDefault="00000000">
      <w:pPr>
        <w:pStyle w:val="ListParagraph"/>
        <w:numPr>
          <w:ilvl w:val="0"/>
          <w:numId w:val="2"/>
        </w:numPr>
        <w:spacing w:before="60" w:after="60"/>
      </w:pPr>
      <w:r>
        <w:rPr>
          <w:b/>
          <w:bCs/>
        </w:rPr>
        <w:t xml:space="preserve">&lt; 200ms p99: </w:t>
      </w:r>
      <w:r>
        <w:t>Real-time ledger update latency</w:t>
      </w:r>
    </w:p>
    <w:p w14:paraId="2C81365E" w14:textId="77777777" w:rsidR="000F7650" w:rsidRDefault="00000000">
      <w:pPr>
        <w:pStyle w:val="ListParagraph"/>
        <w:numPr>
          <w:ilvl w:val="0"/>
          <w:numId w:val="2"/>
        </w:numPr>
        <w:spacing w:before="60" w:after="60"/>
      </w:pPr>
      <w:r>
        <w:rPr>
          <w:b/>
          <w:bCs/>
        </w:rPr>
        <w:t xml:space="preserve">&lt; 30 minutes for eligible transactions: </w:t>
      </w:r>
      <w:r>
        <w:t>Settlement to merchant wallet</w:t>
      </w:r>
    </w:p>
    <w:p w14:paraId="234276D0" w14:textId="5F7F80B0" w:rsidR="00BD374F" w:rsidRPr="00BD374F" w:rsidRDefault="00BD374F">
      <w:pPr>
        <w:pStyle w:val="ListParagraph"/>
        <w:numPr>
          <w:ilvl w:val="0"/>
          <w:numId w:val="2"/>
        </w:numPr>
        <w:spacing w:before="60" w:after="60"/>
      </w:pPr>
      <w:r w:rsidRPr="00BD374F">
        <w:t>Rule-based fraud engine detecting high-risk patterns such as velocity attacks and duplicate payment attempts.</w:t>
      </w:r>
    </w:p>
    <w:p w14:paraId="1428B030" w14:textId="73807CD9" w:rsidR="000F7650" w:rsidRDefault="00000000">
      <w:pPr>
        <w:pStyle w:val="ListParagraph"/>
        <w:numPr>
          <w:ilvl w:val="0"/>
          <w:numId w:val="2"/>
        </w:numPr>
        <w:spacing w:before="60" w:after="60"/>
      </w:pPr>
      <w:r>
        <w:rPr>
          <w:b/>
          <w:bCs/>
        </w:rPr>
        <w:t xml:space="preserve">across all payment, wallet, fraud, and notification domains: </w:t>
      </w:r>
      <w:r>
        <w:t>Full Kafka event coverage</w:t>
      </w:r>
    </w:p>
    <w:p w14:paraId="77FBE1CC" w14:textId="77777777" w:rsidR="000F7650" w:rsidRDefault="00000000">
      <w:pPr>
        <w:pStyle w:val="ListParagraph"/>
        <w:numPr>
          <w:ilvl w:val="0"/>
          <w:numId w:val="2"/>
        </w:numPr>
        <w:spacing w:before="60" w:after="60"/>
      </w:pPr>
      <w:r>
        <w:rPr>
          <w:b/>
          <w:bCs/>
        </w:rPr>
        <w:t xml:space="preserve">at launch: </w:t>
      </w:r>
      <w:r>
        <w:t>PCI-DSS Level 1 and RBI PA compliance</w:t>
      </w:r>
    </w:p>
    <w:p w14:paraId="15125070" w14:textId="77777777" w:rsidR="000F7650" w:rsidRDefault="00000000">
      <w:pPr>
        <w:pStyle w:val="ListParagraph"/>
        <w:numPr>
          <w:ilvl w:val="0"/>
          <w:numId w:val="2"/>
        </w:numPr>
        <w:spacing w:before="60" w:after="60"/>
      </w:pPr>
      <w:r>
        <w:rPr>
          <w:b/>
          <w:bCs/>
        </w:rPr>
        <w:t xml:space="preserve">&lt; 2 hours to first successful test transaction: </w:t>
      </w:r>
      <w:r>
        <w:t>Developer SDK onboarding time</w:t>
      </w:r>
    </w:p>
    <w:p w14:paraId="7AA49FF1" w14:textId="77777777" w:rsidR="000F7650" w:rsidRDefault="00000000">
      <w:pPr>
        <w:pStyle w:val="ListParagraph"/>
        <w:numPr>
          <w:ilvl w:val="0"/>
          <w:numId w:val="2"/>
        </w:numPr>
        <w:spacing w:before="60" w:after="60"/>
      </w:pPr>
      <w:r>
        <w:rPr>
          <w:b/>
          <w:bCs/>
        </w:rPr>
        <w:t xml:space="preserve">99.95% uptime SLA across all core services: </w:t>
      </w:r>
      <w:r>
        <w:t>System availability</w:t>
      </w:r>
    </w:p>
    <w:p w14:paraId="1898D6CA" w14:textId="77777777" w:rsidR="000F7650" w:rsidRDefault="000F7650">
      <w:pPr>
        <w:pBdr>
          <w:bottom w:val="single" w:sz="4" w:space="1" w:color="2E5FA3"/>
        </w:pBdr>
        <w:spacing w:before="160" w:after="160"/>
      </w:pPr>
    </w:p>
    <w:p w14:paraId="3A74CF23" w14:textId="77777777" w:rsidR="000F7650" w:rsidRDefault="00000000">
      <w:pPr>
        <w:pStyle w:val="Heading1"/>
        <w:spacing w:before="320" w:after="160"/>
      </w:pPr>
      <w:r>
        <w:rPr>
          <w:b/>
          <w:bCs/>
          <w:color w:val="1F3A6E"/>
        </w:rPr>
        <w:t>7. Out of Scope (v1.0)</w:t>
      </w:r>
    </w:p>
    <w:p w14:paraId="2E3B3DB2" w14:textId="77777777" w:rsidR="000F7650" w:rsidRDefault="00000000">
      <w:pPr>
        <w:pStyle w:val="ListParagraph"/>
        <w:numPr>
          <w:ilvl w:val="0"/>
          <w:numId w:val="2"/>
        </w:numPr>
        <w:spacing w:before="60" w:after="60"/>
      </w:pPr>
      <w:r>
        <w:t>Cross-border / international payment rails (SWIFT, forex conversion).</w:t>
      </w:r>
    </w:p>
    <w:p w14:paraId="31BA902F" w14:textId="77777777" w:rsidR="000F7650" w:rsidRDefault="00000000">
      <w:pPr>
        <w:pStyle w:val="ListParagraph"/>
        <w:numPr>
          <w:ilvl w:val="0"/>
          <w:numId w:val="2"/>
        </w:numPr>
        <w:spacing w:before="60" w:after="60"/>
      </w:pPr>
      <w:r>
        <w:t>Insurance, lending, or wealth management products.</w:t>
      </w:r>
    </w:p>
    <w:p w14:paraId="5D3A2F98" w14:textId="77777777" w:rsidR="000F7650" w:rsidRDefault="00000000">
      <w:pPr>
        <w:pStyle w:val="ListParagraph"/>
        <w:numPr>
          <w:ilvl w:val="0"/>
          <w:numId w:val="2"/>
        </w:numPr>
        <w:spacing w:before="60" w:after="60"/>
      </w:pPr>
      <w:r>
        <w:t>Physical POS hardware or NFC tap-to-pay integration.</w:t>
      </w:r>
    </w:p>
    <w:p w14:paraId="1C40AFDD" w14:textId="77777777" w:rsidR="000F7650" w:rsidRDefault="00000000">
      <w:pPr>
        <w:pStyle w:val="ListParagraph"/>
        <w:numPr>
          <w:ilvl w:val="0"/>
          <w:numId w:val="2"/>
        </w:numPr>
        <w:spacing w:before="60" w:after="60"/>
      </w:pPr>
      <w:r>
        <w:t>Cryptocurrency or blockchain-based payment instruments.</w:t>
      </w:r>
    </w:p>
    <w:p w14:paraId="78A77C5C" w14:textId="77777777" w:rsidR="000F7650" w:rsidRDefault="00000000">
      <w:pPr>
        <w:pStyle w:val="ListParagraph"/>
        <w:numPr>
          <w:ilvl w:val="0"/>
          <w:numId w:val="2"/>
        </w:numPr>
        <w:spacing w:before="60" w:after="60"/>
      </w:pPr>
      <w:r>
        <w:t>White-label banking-as-a-service for third parties.</w:t>
      </w:r>
    </w:p>
    <w:p w14:paraId="4C5AD5C6" w14:textId="77777777" w:rsidR="000F7650" w:rsidRDefault="000F7650">
      <w:pPr>
        <w:pBdr>
          <w:bottom w:val="single" w:sz="4" w:space="1" w:color="2E5FA3"/>
        </w:pBdr>
        <w:spacing w:before="160" w:after="160"/>
      </w:pPr>
    </w:p>
    <w:p w14:paraId="53C7EC9D" w14:textId="77777777" w:rsidR="000F7650" w:rsidRDefault="00000000">
      <w:pPr>
        <w:pStyle w:val="Heading1"/>
        <w:spacing w:before="320" w:after="160"/>
      </w:pPr>
      <w:r>
        <w:rPr>
          <w:b/>
          <w:bCs/>
          <w:color w:val="1F3A6E"/>
        </w:rPr>
        <w:lastRenderedPageBreak/>
        <w:t>8. Proposed Approach</w:t>
      </w:r>
    </w:p>
    <w:p w14:paraId="37CD1B27" w14:textId="77777777" w:rsidR="000F7650" w:rsidRDefault="00000000">
      <w:pPr>
        <w:spacing w:before="80" w:after="80"/>
      </w:pPr>
      <w:proofErr w:type="spellStart"/>
      <w:r>
        <w:t>PulsePay</w:t>
      </w:r>
      <w:proofErr w:type="spellEnd"/>
      <w:r>
        <w:t xml:space="preserve"> adopts a domain-driven microservices architecture built on Spring Boot 3 and Java 21. Each business domain — authentication, payments, wallets, users, fraud, notifications, and reporting — is deployed as an independent service with its own database (PostgreSQL for transactional data, MongoDB for audit logs, Redis for caching and OTPs, Elasticsearch for search).</w:t>
      </w:r>
    </w:p>
    <w:p w14:paraId="52977205" w14:textId="77777777" w:rsidR="000F7650" w:rsidRDefault="00000000">
      <w:pPr>
        <w:spacing w:before="80" w:after="80"/>
      </w:pPr>
      <w:r>
        <w:t xml:space="preserve">Apache Kafka serves as the central nervous system, carrying event streams between domains with Avro-serialised schemas registered in a Schema Registry. This ensures every state change is observable, </w:t>
      </w:r>
      <w:proofErr w:type="spellStart"/>
      <w:r>
        <w:t>replayable</w:t>
      </w:r>
      <w:proofErr w:type="spellEnd"/>
      <w:r>
        <w:t>, and auditable. Spring Cloud Gateway handles all inbound traffic with JWT validation and rate limiting. Spring Cloud Config and Eureka provide centralised configuration and service discovery.</w:t>
      </w:r>
    </w:p>
    <w:p w14:paraId="16FE1544" w14:textId="77777777" w:rsidR="000F7650" w:rsidRDefault="00000000">
      <w:pPr>
        <w:spacing w:before="80" w:after="80"/>
      </w:pPr>
      <w:r>
        <w:t xml:space="preserve">The platform is containerised (Docker) and orchestrated via Kubernetes with Helm charts, with infrastructure defined as code in Terraform targeting AWS (RDS Aurora, MSK for Kafka, </w:t>
      </w:r>
      <w:proofErr w:type="spellStart"/>
      <w:r>
        <w:t>ElastiCache</w:t>
      </w:r>
      <w:proofErr w:type="spellEnd"/>
      <w:r>
        <w:t xml:space="preserve">, EKS). Observability is instrumented via </w:t>
      </w:r>
      <w:proofErr w:type="spellStart"/>
      <w:r>
        <w:t>Micrometer</w:t>
      </w:r>
      <w:proofErr w:type="spellEnd"/>
      <w:r>
        <w:t>, Prometheus, Grafana, Zipkin, and ELK stack.</w:t>
      </w:r>
    </w:p>
    <w:p w14:paraId="2C829750" w14:textId="77777777" w:rsidR="000F7650" w:rsidRDefault="000F7650">
      <w:pPr>
        <w:pBdr>
          <w:bottom w:val="single" w:sz="4" w:space="1" w:color="2E5FA3"/>
        </w:pBdr>
        <w:spacing w:before="160" w:after="160"/>
      </w:pPr>
    </w:p>
    <w:p w14:paraId="28F3A816" w14:textId="77777777" w:rsidR="000F7650" w:rsidRDefault="00000000">
      <w:pPr>
        <w:pStyle w:val="Heading1"/>
        <w:spacing w:before="320" w:after="160"/>
      </w:pPr>
      <w:r>
        <w:rPr>
          <w:b/>
          <w:bCs/>
          <w:color w:val="1F3A6E"/>
        </w:rPr>
        <w:t>9. Assumptions &amp; Constraints</w:t>
      </w:r>
    </w:p>
    <w:p w14:paraId="26842D89" w14:textId="77777777" w:rsidR="000F7650" w:rsidRDefault="00000000">
      <w:pPr>
        <w:pStyle w:val="Heading2"/>
        <w:spacing w:before="240" w:after="120"/>
      </w:pPr>
      <w:r>
        <w:rPr>
          <w:b/>
          <w:bCs/>
          <w:color w:val="2E5FA3"/>
        </w:rPr>
        <w:t>Assumptions</w:t>
      </w:r>
    </w:p>
    <w:p w14:paraId="37D39692" w14:textId="77777777" w:rsidR="000F7650" w:rsidRDefault="00000000">
      <w:pPr>
        <w:pStyle w:val="ListParagraph"/>
        <w:numPr>
          <w:ilvl w:val="0"/>
          <w:numId w:val="2"/>
        </w:numPr>
        <w:spacing w:before="60" w:after="60"/>
      </w:pPr>
      <w:r>
        <w:t>NPCI UPI APIs and banking partner sandbox environments are available for integration and testing.</w:t>
      </w:r>
    </w:p>
    <w:p w14:paraId="4B44228D" w14:textId="77777777" w:rsidR="000F7650" w:rsidRDefault="00000000">
      <w:pPr>
        <w:pStyle w:val="ListParagraph"/>
        <w:numPr>
          <w:ilvl w:val="0"/>
          <w:numId w:val="2"/>
        </w:numPr>
        <w:spacing w:before="60" w:after="60"/>
      </w:pPr>
      <w:r>
        <w:t>AWS is the primary cloud provider for production and staging environments.</w:t>
      </w:r>
    </w:p>
    <w:p w14:paraId="0FEE47F4" w14:textId="77777777" w:rsidR="000F7650" w:rsidRDefault="00000000">
      <w:pPr>
        <w:pStyle w:val="ListParagraph"/>
        <w:numPr>
          <w:ilvl w:val="0"/>
          <w:numId w:val="2"/>
        </w:numPr>
        <w:spacing w:before="60" w:after="60"/>
      </w:pPr>
      <w:r>
        <w:t>All sensitive data (card numbers, Aadhaar references) will be tokenised; raw PII never persists in application databases.</w:t>
      </w:r>
    </w:p>
    <w:p w14:paraId="434B0F1E" w14:textId="77777777" w:rsidR="000F7650" w:rsidRDefault="00000000">
      <w:pPr>
        <w:pStyle w:val="Heading2"/>
        <w:spacing w:before="240" w:after="120"/>
      </w:pPr>
      <w:r>
        <w:rPr>
          <w:b/>
          <w:bCs/>
          <w:color w:val="2E5FA3"/>
        </w:rPr>
        <w:t>Constraints</w:t>
      </w:r>
    </w:p>
    <w:p w14:paraId="318FC392" w14:textId="77777777" w:rsidR="000F7650" w:rsidRDefault="00000000">
      <w:pPr>
        <w:pStyle w:val="ListParagraph"/>
        <w:numPr>
          <w:ilvl w:val="0"/>
          <w:numId w:val="2"/>
        </w:numPr>
        <w:spacing w:before="60" w:after="60"/>
      </w:pPr>
      <w:r>
        <w:t>Must comply with RBI Payment Aggregator guidelines effective March 2022 and subsequent updates.</w:t>
      </w:r>
    </w:p>
    <w:p w14:paraId="734E916D" w14:textId="77777777" w:rsidR="000F7650" w:rsidRDefault="00000000">
      <w:pPr>
        <w:pStyle w:val="ListParagraph"/>
        <w:numPr>
          <w:ilvl w:val="0"/>
          <w:numId w:val="2"/>
        </w:numPr>
        <w:spacing w:before="60" w:after="60"/>
      </w:pPr>
      <w:r>
        <w:t>Must achieve PCI-DSS Level 1 certification before processing live card transactions.</w:t>
      </w:r>
    </w:p>
    <w:p w14:paraId="282DF730" w14:textId="77777777" w:rsidR="000F7650" w:rsidRDefault="00000000">
      <w:pPr>
        <w:pStyle w:val="ListParagraph"/>
        <w:numPr>
          <w:ilvl w:val="0"/>
          <w:numId w:val="2"/>
        </w:numPr>
        <w:spacing w:before="60" w:after="60"/>
      </w:pPr>
      <w:r>
        <w:t>Services must be deployable independently without full-platform redeployment.</w:t>
      </w:r>
    </w:p>
    <w:p w14:paraId="0670B832" w14:textId="77777777" w:rsidR="000F7650" w:rsidRDefault="00000000">
      <w:pPr>
        <w:pStyle w:val="ListParagraph"/>
        <w:numPr>
          <w:ilvl w:val="0"/>
          <w:numId w:val="2"/>
        </w:numPr>
        <w:spacing w:before="60" w:after="60"/>
      </w:pPr>
      <w:r>
        <w:t>All inter-service communication must be either synchronous REST (via Gateway) or asynchronous Kafka — no direct database sharing between services.</w:t>
      </w:r>
    </w:p>
    <w:p w14:paraId="2D56FBC8" w14:textId="77777777" w:rsidR="000F7650" w:rsidRDefault="000F7650">
      <w:pPr>
        <w:pBdr>
          <w:bottom w:val="single" w:sz="4" w:space="1" w:color="2E5FA3"/>
        </w:pBdr>
        <w:spacing w:before="160" w:after="160"/>
      </w:pPr>
    </w:p>
    <w:p w14:paraId="7D05E22C" w14:textId="77777777" w:rsidR="000F7650" w:rsidRDefault="00000000">
      <w:pPr>
        <w:pStyle w:val="Heading1"/>
        <w:spacing w:before="320" w:after="160"/>
      </w:pPr>
      <w:r>
        <w:rPr>
          <w:b/>
          <w:bCs/>
          <w:color w:val="1F3A6E"/>
        </w:rPr>
        <w:t>10.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760"/>
        <w:gridCol w:w="4400"/>
      </w:tblGrid>
      <w:tr w:rsidR="000F7650" w14:paraId="2195F84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F3A6E"/>
            <w:tcMar>
              <w:top w:w="80" w:type="dxa"/>
              <w:left w:w="120" w:type="dxa"/>
              <w:bottom w:w="80" w:type="dxa"/>
              <w:right w:w="120" w:type="dxa"/>
            </w:tcMar>
          </w:tcPr>
          <w:p w14:paraId="65C2ACDD" w14:textId="77777777" w:rsidR="000F7650" w:rsidRDefault="00000000">
            <w:r>
              <w:rPr>
                <w:b/>
                <w:bCs/>
                <w:color w:val="FFFFFF"/>
                <w:sz w:val="20"/>
                <w:szCs w:val="20"/>
              </w:rPr>
              <w:t>Risk</w:t>
            </w:r>
          </w:p>
        </w:tc>
        <w:tc>
          <w:tcPr>
            <w:tcW w:w="1760" w:type="dxa"/>
            <w:tcBorders>
              <w:top w:val="single" w:sz="1" w:space="0" w:color="DDDDDD"/>
              <w:left w:val="single" w:sz="1" w:space="0" w:color="DDDDDD"/>
              <w:bottom w:val="single" w:sz="1" w:space="0" w:color="DDDDDD"/>
              <w:right w:val="single" w:sz="1" w:space="0" w:color="DDDDDD"/>
            </w:tcBorders>
            <w:shd w:val="clear" w:color="auto" w:fill="1F3A6E"/>
            <w:tcMar>
              <w:top w:w="80" w:type="dxa"/>
              <w:left w:w="120" w:type="dxa"/>
              <w:bottom w:w="80" w:type="dxa"/>
              <w:right w:w="120" w:type="dxa"/>
            </w:tcMar>
          </w:tcPr>
          <w:p w14:paraId="786E964A" w14:textId="77777777" w:rsidR="000F7650" w:rsidRDefault="00000000">
            <w:r>
              <w:rPr>
                <w:b/>
                <w:bCs/>
                <w:color w:val="FFFFFF"/>
                <w:sz w:val="20"/>
                <w:szCs w:val="20"/>
              </w:rPr>
              <w:t>Severity</w:t>
            </w:r>
          </w:p>
        </w:tc>
        <w:tc>
          <w:tcPr>
            <w:tcW w:w="4400" w:type="dxa"/>
            <w:tcBorders>
              <w:top w:val="single" w:sz="1" w:space="0" w:color="DDDDDD"/>
              <w:left w:val="single" w:sz="1" w:space="0" w:color="DDDDDD"/>
              <w:bottom w:val="single" w:sz="1" w:space="0" w:color="DDDDDD"/>
              <w:right w:val="single" w:sz="1" w:space="0" w:color="DDDDDD"/>
            </w:tcBorders>
            <w:shd w:val="clear" w:color="auto" w:fill="1F3A6E"/>
            <w:tcMar>
              <w:top w:w="80" w:type="dxa"/>
              <w:left w:w="120" w:type="dxa"/>
              <w:bottom w:w="80" w:type="dxa"/>
              <w:right w:w="120" w:type="dxa"/>
            </w:tcMar>
          </w:tcPr>
          <w:p w14:paraId="45888653" w14:textId="77777777" w:rsidR="000F7650" w:rsidRDefault="00000000">
            <w:r>
              <w:rPr>
                <w:b/>
                <w:bCs/>
                <w:color w:val="FFFFFF"/>
                <w:sz w:val="20"/>
                <w:szCs w:val="20"/>
              </w:rPr>
              <w:t>Mitigation</w:t>
            </w:r>
          </w:p>
        </w:tc>
      </w:tr>
      <w:tr w:rsidR="000F7650" w14:paraId="4BCE548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631C6E" w14:textId="77777777" w:rsidR="000F7650" w:rsidRDefault="00000000">
            <w:r>
              <w:rPr>
                <w:sz w:val="20"/>
                <w:szCs w:val="20"/>
              </w:rPr>
              <w:t>NPCI API instability impacting UPI success rates</w:t>
            </w:r>
          </w:p>
        </w:tc>
        <w:tc>
          <w:tcPr>
            <w:tcW w:w="176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20" w:type="dxa"/>
              <w:bottom w:w="80" w:type="dxa"/>
              <w:right w:w="120" w:type="dxa"/>
            </w:tcMar>
          </w:tcPr>
          <w:p w14:paraId="224670DE" w14:textId="77777777" w:rsidR="000F7650" w:rsidRDefault="00000000">
            <w:pPr>
              <w:jc w:val="center"/>
            </w:pPr>
            <w:r>
              <w:rPr>
                <w:b/>
                <w:bCs/>
                <w:color w:val="C0392B"/>
                <w:sz w:val="20"/>
                <w:szCs w:val="20"/>
              </w:rPr>
              <w:t>High</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64C460" w14:textId="77777777" w:rsidR="000F7650" w:rsidRDefault="00000000">
            <w:r>
              <w:rPr>
                <w:sz w:val="20"/>
                <w:szCs w:val="20"/>
              </w:rPr>
              <w:t>Implement retry with exponential backoff; fallback to polling for final status.</w:t>
            </w:r>
          </w:p>
        </w:tc>
      </w:tr>
      <w:tr w:rsidR="000F7650" w14:paraId="715BA25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58E1EC7" w14:textId="77777777" w:rsidR="000F7650" w:rsidRDefault="00000000">
            <w:r>
              <w:rPr>
                <w:sz w:val="20"/>
                <w:szCs w:val="20"/>
              </w:rPr>
              <w:t>Kafka consumer lag under peak load</w:t>
            </w:r>
          </w:p>
        </w:tc>
        <w:tc>
          <w:tcPr>
            <w:tcW w:w="1760" w:type="dxa"/>
            <w:tcBorders>
              <w:top w:val="single" w:sz="1" w:space="0" w:color="DDDDDD"/>
              <w:left w:val="single" w:sz="1" w:space="0" w:color="DDDDDD"/>
              <w:bottom w:val="single" w:sz="1" w:space="0" w:color="DDDDDD"/>
              <w:right w:val="single" w:sz="1" w:space="0" w:color="DDDDDD"/>
            </w:tcBorders>
            <w:shd w:val="clear" w:color="auto" w:fill="FEF9EC"/>
            <w:tcMar>
              <w:top w:w="80" w:type="dxa"/>
              <w:left w:w="120" w:type="dxa"/>
              <w:bottom w:w="80" w:type="dxa"/>
              <w:right w:w="120" w:type="dxa"/>
            </w:tcMar>
          </w:tcPr>
          <w:p w14:paraId="783FA0AA" w14:textId="77777777" w:rsidR="000F7650" w:rsidRDefault="00000000">
            <w:pPr>
              <w:jc w:val="center"/>
            </w:pPr>
            <w:r>
              <w:rPr>
                <w:b/>
                <w:bCs/>
                <w:color w:val="A04000"/>
                <w:sz w:val="20"/>
                <w:szCs w:val="20"/>
              </w:rPr>
              <w:t>Medium</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C039AEF" w14:textId="77777777" w:rsidR="000F7650" w:rsidRDefault="00000000">
            <w:r>
              <w:rPr>
                <w:sz w:val="20"/>
                <w:szCs w:val="20"/>
              </w:rPr>
              <w:t>Auto-scaling consumer groups; dead-letter queues; lag monitoring alerts.</w:t>
            </w:r>
          </w:p>
        </w:tc>
      </w:tr>
      <w:tr w:rsidR="000F7650" w14:paraId="36B45F7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3706D99" w14:textId="77777777" w:rsidR="000F7650" w:rsidRDefault="00000000">
            <w:r>
              <w:rPr>
                <w:sz w:val="20"/>
                <w:szCs w:val="20"/>
              </w:rPr>
              <w:t>Regulatory change invalidating current PA compliance posture</w:t>
            </w:r>
          </w:p>
        </w:tc>
        <w:tc>
          <w:tcPr>
            <w:tcW w:w="1760" w:type="dxa"/>
            <w:tcBorders>
              <w:top w:val="single" w:sz="1" w:space="0" w:color="DDDDDD"/>
              <w:left w:val="single" w:sz="1" w:space="0" w:color="DDDDDD"/>
              <w:bottom w:val="single" w:sz="1" w:space="0" w:color="DDDDDD"/>
              <w:right w:val="single" w:sz="1" w:space="0" w:color="DDDDDD"/>
            </w:tcBorders>
            <w:shd w:val="clear" w:color="auto" w:fill="FEF9EC"/>
            <w:tcMar>
              <w:top w:w="80" w:type="dxa"/>
              <w:left w:w="120" w:type="dxa"/>
              <w:bottom w:w="80" w:type="dxa"/>
              <w:right w:w="120" w:type="dxa"/>
            </w:tcMar>
          </w:tcPr>
          <w:p w14:paraId="6B298030" w14:textId="77777777" w:rsidR="000F7650" w:rsidRDefault="00000000">
            <w:pPr>
              <w:jc w:val="center"/>
            </w:pPr>
            <w:r>
              <w:rPr>
                <w:b/>
                <w:bCs/>
                <w:color w:val="A04000"/>
                <w:sz w:val="20"/>
                <w:szCs w:val="20"/>
              </w:rPr>
              <w:t>Medium</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227AA13" w14:textId="77777777" w:rsidR="000F7650" w:rsidRDefault="00000000">
            <w:r>
              <w:rPr>
                <w:sz w:val="20"/>
                <w:szCs w:val="20"/>
              </w:rPr>
              <w:t>Quarterly compliance reviews; legal counsel retainer; modular compliance layer.</w:t>
            </w:r>
          </w:p>
        </w:tc>
      </w:tr>
      <w:tr w:rsidR="000F7650" w14:paraId="50F1230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0BF136D" w14:textId="77777777" w:rsidR="000F7650" w:rsidRDefault="00000000">
            <w:r>
              <w:rPr>
                <w:sz w:val="20"/>
                <w:szCs w:val="20"/>
              </w:rPr>
              <w:lastRenderedPageBreak/>
              <w:t>Fraudulent transaction surge overwhelming rules engine</w:t>
            </w:r>
          </w:p>
        </w:tc>
        <w:tc>
          <w:tcPr>
            <w:tcW w:w="176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20" w:type="dxa"/>
              <w:bottom w:w="80" w:type="dxa"/>
              <w:right w:w="120" w:type="dxa"/>
            </w:tcMar>
          </w:tcPr>
          <w:p w14:paraId="7D59031A" w14:textId="77777777" w:rsidR="000F7650" w:rsidRDefault="00000000">
            <w:pPr>
              <w:jc w:val="center"/>
            </w:pPr>
            <w:r>
              <w:rPr>
                <w:b/>
                <w:bCs/>
                <w:color w:val="C0392B"/>
                <w:sz w:val="20"/>
                <w:szCs w:val="20"/>
              </w:rPr>
              <w:t>High</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AD8F9B9" w14:textId="77777777" w:rsidR="000F7650" w:rsidRDefault="00000000">
            <w:r>
              <w:rPr>
                <w:sz w:val="20"/>
                <w:szCs w:val="20"/>
              </w:rPr>
              <w:t>ML-based anomaly detection as secondary layer; velocity checks via Redis.</w:t>
            </w:r>
          </w:p>
        </w:tc>
      </w:tr>
      <w:tr w:rsidR="000F7650" w14:paraId="2907915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DD95779" w14:textId="77777777" w:rsidR="000F7650" w:rsidRDefault="00000000">
            <w:r>
              <w:rPr>
                <w:sz w:val="20"/>
                <w:szCs w:val="20"/>
              </w:rPr>
              <w:t>Key person risk in security/compliance domain</w:t>
            </w:r>
          </w:p>
        </w:tc>
        <w:tc>
          <w:tcPr>
            <w:tcW w:w="1760" w:type="dxa"/>
            <w:tcBorders>
              <w:top w:val="single" w:sz="1" w:space="0" w:color="DDDDDD"/>
              <w:left w:val="single" w:sz="1" w:space="0" w:color="DDDDDD"/>
              <w:bottom w:val="single" w:sz="1" w:space="0" w:color="DDDDDD"/>
              <w:right w:val="single" w:sz="1" w:space="0" w:color="DDDDDD"/>
            </w:tcBorders>
            <w:shd w:val="clear" w:color="auto" w:fill="FEF9EC"/>
            <w:tcMar>
              <w:top w:w="80" w:type="dxa"/>
              <w:left w:w="120" w:type="dxa"/>
              <w:bottom w:w="80" w:type="dxa"/>
              <w:right w:w="120" w:type="dxa"/>
            </w:tcMar>
          </w:tcPr>
          <w:p w14:paraId="25FDA2F0" w14:textId="77777777" w:rsidR="000F7650" w:rsidRDefault="00000000">
            <w:pPr>
              <w:jc w:val="center"/>
            </w:pPr>
            <w:r>
              <w:rPr>
                <w:b/>
                <w:bCs/>
                <w:color w:val="A04000"/>
                <w:sz w:val="20"/>
                <w:szCs w:val="20"/>
              </w:rPr>
              <w:t>Medium</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E608CD5" w14:textId="77777777" w:rsidR="000F7650" w:rsidRDefault="00000000">
            <w:r>
              <w:rPr>
                <w:sz w:val="20"/>
                <w:szCs w:val="20"/>
              </w:rPr>
              <w:t>Documentation-first culture; cross-training; runbooks for all critical procedures.</w:t>
            </w:r>
          </w:p>
        </w:tc>
      </w:tr>
    </w:tbl>
    <w:p w14:paraId="225F4E6F" w14:textId="77777777" w:rsidR="000F7650" w:rsidRDefault="000F7650">
      <w:pPr>
        <w:spacing w:before="240"/>
      </w:pPr>
    </w:p>
    <w:p w14:paraId="3DFC18B5" w14:textId="690786AE" w:rsidR="00000000" w:rsidRDefault="00BD374F">
      <w:r w:rsidRPr="00BD374F">
        <w:t>Core Event Flow</w:t>
      </w:r>
    </w:p>
    <w:p w14:paraId="6D6FF628" w14:textId="77777777" w:rsidR="00BD374F" w:rsidRDefault="00BD374F" w:rsidP="00BD374F">
      <w:r>
        <w:t>1. User initiates payment</w:t>
      </w:r>
    </w:p>
    <w:p w14:paraId="7B4340C8" w14:textId="77777777" w:rsidR="00BD374F" w:rsidRDefault="00BD374F" w:rsidP="00BD374F">
      <w:r>
        <w:t>2. Payment Service validates request</w:t>
      </w:r>
    </w:p>
    <w:p w14:paraId="5E193A5B" w14:textId="77777777" w:rsidR="00BD374F" w:rsidRDefault="00BD374F" w:rsidP="00BD374F">
      <w:r>
        <w:t xml:space="preserve">3. </w:t>
      </w:r>
      <w:proofErr w:type="spellStart"/>
      <w:r>
        <w:t>PaymentCreated</w:t>
      </w:r>
      <w:proofErr w:type="spellEnd"/>
      <w:r>
        <w:t xml:space="preserve"> event published to Kafka</w:t>
      </w:r>
    </w:p>
    <w:p w14:paraId="08E09F16" w14:textId="77777777" w:rsidR="00BD374F" w:rsidRDefault="00BD374F" w:rsidP="00BD374F">
      <w:r>
        <w:t>4. Ledger Service updates balances</w:t>
      </w:r>
    </w:p>
    <w:p w14:paraId="2C43C34B" w14:textId="77777777" w:rsidR="00BD374F" w:rsidRDefault="00BD374F" w:rsidP="00BD374F">
      <w:r>
        <w:t>5. Fraud Service evaluates rules</w:t>
      </w:r>
    </w:p>
    <w:p w14:paraId="3EA7E5D8" w14:textId="77777777" w:rsidR="00BD374F" w:rsidRDefault="00BD374F" w:rsidP="00BD374F">
      <w:r>
        <w:t>6. Notification Service sends confirmation</w:t>
      </w:r>
    </w:p>
    <w:p w14:paraId="41BDAAC9" w14:textId="4A2961E4" w:rsidR="00BD374F" w:rsidRDefault="00BD374F" w:rsidP="00BD374F">
      <w:r>
        <w:t>7. Merchant Service updates order state</w:t>
      </w:r>
    </w:p>
    <w:sectPr w:rsidR="00BD374F">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F3062" w14:textId="77777777" w:rsidR="00B92C7C" w:rsidRDefault="00B92C7C">
      <w:r>
        <w:separator/>
      </w:r>
    </w:p>
  </w:endnote>
  <w:endnote w:type="continuationSeparator" w:id="0">
    <w:p w14:paraId="58C274F2" w14:textId="77777777" w:rsidR="00B92C7C" w:rsidRDefault="00B92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6CF2D" w14:textId="77777777" w:rsidR="000F7650" w:rsidRDefault="00000000">
    <w:pPr>
      <w:pBdr>
        <w:top w:val="single" w:sz="4" w:space="6" w:color="2E5FA3"/>
      </w:pBdr>
      <w:tabs>
        <w:tab w:val="right" w:pos="9026"/>
      </w:tabs>
    </w:pPr>
    <w:r>
      <w:rPr>
        <w:color w:val="888888"/>
        <w:sz w:val="18"/>
        <w:szCs w:val="18"/>
      </w:rPr>
      <w:t>Confidential — Internal Use Only</w:t>
    </w:r>
    <w:r>
      <w:rPr>
        <w:color w:val="888888"/>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7C0D3" w14:textId="77777777" w:rsidR="00B92C7C" w:rsidRDefault="00B92C7C">
      <w:r>
        <w:separator/>
      </w:r>
    </w:p>
  </w:footnote>
  <w:footnote w:type="continuationSeparator" w:id="0">
    <w:p w14:paraId="5A2317CE" w14:textId="77777777" w:rsidR="00B92C7C" w:rsidRDefault="00B92C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B8845" w14:textId="77777777" w:rsidR="000F7650" w:rsidRDefault="00000000">
    <w:pPr>
      <w:pBdr>
        <w:bottom w:val="single" w:sz="4" w:space="6" w:color="2E5FA3"/>
      </w:pBdr>
    </w:pPr>
    <w:proofErr w:type="spellStart"/>
    <w:proofErr w:type="gramStart"/>
    <w:r>
      <w:rPr>
        <w:b/>
        <w:bCs/>
        <w:color w:val="1F3A6E"/>
      </w:rPr>
      <w:t>PulsePay</w:t>
    </w:r>
    <w:proofErr w:type="spellEnd"/>
    <w:r>
      <w:rPr>
        <w:color w:val="888888"/>
      </w:rPr>
      <w:t xml:space="preserve">  |</w:t>
    </w:r>
    <w:proofErr w:type="gramEnd"/>
    <w:r>
      <w:rPr>
        <w:color w:val="888888"/>
      </w:rPr>
      <w:t xml:space="preserve">  Problem Statement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44E1"/>
    <w:multiLevelType w:val="hybridMultilevel"/>
    <w:tmpl w:val="56DED5F4"/>
    <w:lvl w:ilvl="0" w:tplc="7F7C4D8C">
      <w:start w:val="1"/>
      <w:numFmt w:val="bullet"/>
      <w:lvlText w:val="•"/>
      <w:lvlJc w:val="left"/>
      <w:pPr>
        <w:ind w:left="720" w:hanging="360"/>
      </w:pPr>
    </w:lvl>
    <w:lvl w:ilvl="1" w:tplc="42065E9A">
      <w:numFmt w:val="decimal"/>
      <w:lvlText w:val=""/>
      <w:lvlJc w:val="left"/>
    </w:lvl>
    <w:lvl w:ilvl="2" w:tplc="99E2ECF0">
      <w:numFmt w:val="decimal"/>
      <w:lvlText w:val=""/>
      <w:lvlJc w:val="left"/>
    </w:lvl>
    <w:lvl w:ilvl="3" w:tplc="703E6624">
      <w:numFmt w:val="decimal"/>
      <w:lvlText w:val=""/>
      <w:lvlJc w:val="left"/>
    </w:lvl>
    <w:lvl w:ilvl="4" w:tplc="DE38A824">
      <w:numFmt w:val="decimal"/>
      <w:lvlText w:val=""/>
      <w:lvlJc w:val="left"/>
    </w:lvl>
    <w:lvl w:ilvl="5" w:tplc="F95257D0">
      <w:numFmt w:val="decimal"/>
      <w:lvlText w:val=""/>
      <w:lvlJc w:val="left"/>
    </w:lvl>
    <w:lvl w:ilvl="6" w:tplc="3B0C9A42">
      <w:numFmt w:val="decimal"/>
      <w:lvlText w:val=""/>
      <w:lvlJc w:val="left"/>
    </w:lvl>
    <w:lvl w:ilvl="7" w:tplc="3BD4B810">
      <w:numFmt w:val="decimal"/>
      <w:lvlText w:val=""/>
      <w:lvlJc w:val="left"/>
    </w:lvl>
    <w:lvl w:ilvl="8" w:tplc="D9A2C0C0">
      <w:numFmt w:val="decimal"/>
      <w:lvlText w:val=""/>
      <w:lvlJc w:val="left"/>
    </w:lvl>
  </w:abstractNum>
  <w:abstractNum w:abstractNumId="1" w15:restartNumberingAfterBreak="0">
    <w:nsid w:val="413850B7"/>
    <w:multiLevelType w:val="hybridMultilevel"/>
    <w:tmpl w:val="33709C94"/>
    <w:lvl w:ilvl="0" w:tplc="4B9CF5A6">
      <w:start w:val="1"/>
      <w:numFmt w:val="bullet"/>
      <w:lvlText w:val="●"/>
      <w:lvlJc w:val="left"/>
      <w:pPr>
        <w:ind w:left="720" w:hanging="360"/>
      </w:pPr>
    </w:lvl>
    <w:lvl w:ilvl="1" w:tplc="74322BDA">
      <w:start w:val="1"/>
      <w:numFmt w:val="bullet"/>
      <w:lvlText w:val="○"/>
      <w:lvlJc w:val="left"/>
      <w:pPr>
        <w:ind w:left="1440" w:hanging="360"/>
      </w:pPr>
    </w:lvl>
    <w:lvl w:ilvl="2" w:tplc="C076F156">
      <w:start w:val="1"/>
      <w:numFmt w:val="bullet"/>
      <w:lvlText w:val="■"/>
      <w:lvlJc w:val="left"/>
      <w:pPr>
        <w:ind w:left="2160" w:hanging="360"/>
      </w:pPr>
    </w:lvl>
    <w:lvl w:ilvl="3" w:tplc="00204D98">
      <w:start w:val="1"/>
      <w:numFmt w:val="bullet"/>
      <w:lvlText w:val="●"/>
      <w:lvlJc w:val="left"/>
      <w:pPr>
        <w:ind w:left="2880" w:hanging="360"/>
      </w:pPr>
    </w:lvl>
    <w:lvl w:ilvl="4" w:tplc="14845888">
      <w:start w:val="1"/>
      <w:numFmt w:val="bullet"/>
      <w:lvlText w:val="○"/>
      <w:lvlJc w:val="left"/>
      <w:pPr>
        <w:ind w:left="3600" w:hanging="360"/>
      </w:pPr>
    </w:lvl>
    <w:lvl w:ilvl="5" w:tplc="F446B054">
      <w:start w:val="1"/>
      <w:numFmt w:val="bullet"/>
      <w:lvlText w:val="■"/>
      <w:lvlJc w:val="left"/>
      <w:pPr>
        <w:ind w:left="4320" w:hanging="360"/>
      </w:pPr>
    </w:lvl>
    <w:lvl w:ilvl="6" w:tplc="FE06E6EA">
      <w:start w:val="1"/>
      <w:numFmt w:val="bullet"/>
      <w:lvlText w:val="●"/>
      <w:lvlJc w:val="left"/>
      <w:pPr>
        <w:ind w:left="5040" w:hanging="360"/>
      </w:pPr>
    </w:lvl>
    <w:lvl w:ilvl="7" w:tplc="3C666D0C">
      <w:start w:val="1"/>
      <w:numFmt w:val="bullet"/>
      <w:lvlText w:val="●"/>
      <w:lvlJc w:val="left"/>
      <w:pPr>
        <w:ind w:left="5760" w:hanging="360"/>
      </w:pPr>
    </w:lvl>
    <w:lvl w:ilvl="8" w:tplc="E59C40C2">
      <w:start w:val="1"/>
      <w:numFmt w:val="bullet"/>
      <w:lvlText w:val="●"/>
      <w:lvlJc w:val="left"/>
      <w:pPr>
        <w:ind w:left="6480" w:hanging="360"/>
      </w:pPr>
    </w:lvl>
  </w:abstractNum>
  <w:num w:numId="1" w16cid:durableId="1746025391">
    <w:abstractNumId w:val="1"/>
    <w:lvlOverride w:ilvl="0">
      <w:startOverride w:val="1"/>
    </w:lvlOverride>
  </w:num>
  <w:num w:numId="2" w16cid:durableId="2976830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650"/>
    <w:rsid w:val="000F7650"/>
    <w:rsid w:val="00491A58"/>
    <w:rsid w:val="004D026F"/>
    <w:rsid w:val="00B92C7C"/>
    <w:rsid w:val="00BD374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2BFB0"/>
  <w15:docId w15:val="{25AC49FC-86EC-4FB8-BA9D-CEA6F0B79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1279</Words>
  <Characters>7292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Akansh Verma</cp:lastModifiedBy>
  <cp:revision>3</cp:revision>
  <dcterms:created xsi:type="dcterms:W3CDTF">2026-03-15T07:53:00Z</dcterms:created>
  <dcterms:modified xsi:type="dcterms:W3CDTF">2026-03-15T08:10:00Z</dcterms:modified>
</cp:coreProperties>
</file>