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computing power and storage to process complex, real-world data. After funding cutbacks in the mid-1970s, the field experienced its first "AI Winter." A brief resurgence occurred in the 1980s driven by commercial "expert systems"—programs designed to emulate the decision-making of human experts. However, these brittle systems proved expensive to maintain, leading to a second AI Winter in the late 1980s.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Shift to Data and Machine Learning (1990s–2000s)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1990s, AI shifted away from rigid, rule-based logic toward statistical models and data-driven approaches. Machine Learning gained traction, allowing algorithms to detect patterns in data rather than relying on explicit programming. Milestone moments captured public interest: IBM’s Deep Blue defeated world chess champion Garry Kasparov in 1997, demonstrating the power of raw computational search, while early algorithms laid the foundation for internet search engines, recommendation systems, and basic speech recognition.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Deep Learning Revolution (2010s)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era of AI began around 2012 with the rapid advancement of Deep Learning—neural network architectures inspired by the human brain. Fueled by massive amounts of digitized big data and powerful Graphics Processing Units (GPUs), systems gained unprecedented accuracy in image and speech recognition. Major breakthroughs followed: IBM Watson won Jeopardy! in 2011, DeepMind’s AlphaGo defeated world Go champion Lee Sedol in 2016, and smart assistants entered mainstream homes worldwide.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Generative AI Era (2020s–Present)</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landscape is defined by the rise of Large Language Models (LLMs) and Generative AI, spearheaded by Transformer architectures introduced in late 2017. AI transitioned from analyzing data to creating original, high-quality content—including natural human dialogue, software code, photorealistic images, and audio. Modern AI applications have integrated into everyday infrastructure, driving automation, scientific research, personalized healthcare, and intelligent enterprise software globally.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