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宋体"/>
          <w:color w:val="000000"/>
          <w:sz w:val="44"/>
        </w:rPr>
        <w:t>孤独症儿童表情识别常模评估系统说明手册</w:t>
      </w:r>
    </w:p>
    <w:p>
      <w:pPr>
        <w:spacing w:after="80"/>
        <w:jc w:val="center"/>
      </w:pPr>
      <w:r>
        <w:rPr>
          <w:rFonts w:ascii="Times New Roman" w:hAnsi="Times New Roman" w:eastAsia="宋体"/>
          <w:color w:val="000000"/>
        </w:rPr>
        <w:t>版本 1.0</w:t>
      </w:r>
    </w:p>
    <w:p>
      <w:pPr>
        <w:spacing w:after="320"/>
        <w:jc w:val="center"/>
      </w:pPr>
      <w:r>
        <w:rPr>
          <w:rFonts w:ascii="Times New Roman" w:hAnsi="Times New Roman" w:eastAsia="宋体"/>
          <w:color w:val="000000"/>
        </w:rPr>
        <w:t>适用对象：项目部署人员、评估人员与研发维护人员</w:t>
      </w:r>
    </w:p>
    <w:p>
      <w:pPr>
        <w:pStyle w:val="Heading1"/>
      </w:pPr>
      <w:r>
        <w:rPr>
          <w:rFonts w:ascii="Times New Roman" w:hAnsi="Times New Roman" w:eastAsia="宋体"/>
          <w:color w:val="000000"/>
        </w:rPr>
        <w:t>总体功能描述</w:t>
      </w:r>
    </w:p>
    <w:p>
      <w:pPr>
        <w:ind w:firstLine="420"/>
      </w:pPr>
      <w:r>
        <w:rPr>
          <w:rFonts w:ascii="Times New Roman" w:hAnsi="Times New Roman" w:eastAsia="宋体"/>
          <w:color w:val="000000"/>
        </w:rPr>
        <w:t>孤独症儿童表情识别常模评估系统是一套面向研究与原型验证场景的网页评估系统。系统通过儿童友好的图像选择任务和视频播放配合摄像头表情采集任务，记录作答结果、汇总分项得分，并生成包含任务明细与结果解释的综合报告。系统提供 Node.js 与 Python 两个兼容后端入口，前端页面无需切换接口路径。</w:t>
      </w:r>
    </w:p>
    <w:p>
      <w:pPr>
        <w:ind w:firstLine="420"/>
      </w:pPr>
      <w:r>
        <w:rPr>
          <w:rFonts w:ascii="Times New Roman" w:hAnsi="Times New Roman" w:eastAsia="宋体"/>
          <w:color w:val="000000"/>
        </w:rPr>
        <w:t>当前版本包含 6 道二选一静态图像题和 3 道视频表情任务。每道图像题满分 3 分，每道视频任务满分 4 分，总分 30 分。图像素材为开心、悲伤和恐惧三类动画表情；视频任务播放目标情绪片段，同时采集浏览器摄像头画面，由 DeepFace 对帧级表情进行聚合判断。</w:t>
      </w:r>
    </w:p>
    <w:p>
      <w:pPr>
        <w:ind w:firstLine="420"/>
      </w:pPr>
      <w:r>
        <w:rPr>
          <w:rFonts w:ascii="Times New Roman" w:hAnsi="Times New Roman" w:eastAsia="宋体"/>
          <w:color w:val="000000"/>
        </w:rPr>
        <w:t>本系统用于材料可理解性、任务流程与原型功能验证。结果中的风险分层只供项目研发阶段的任务解释使用，不能用于 ASD 诊断、排除诊断、入学或康复资格判断。正式常模或临床应用前，应完成伦理审查、知情同意、刺激材料授权、预测试、信效度检验和独立样本验证。</w:t>
      </w:r>
    </w:p>
    <w:p>
      <w:pPr>
        <w:pStyle w:val="Heading1"/>
      </w:pPr>
      <w:r>
        <w:rPr>
          <w:rFonts w:ascii="Times New Roman" w:hAnsi="Times New Roman" w:eastAsia="宋体"/>
          <w:color w:val="000000"/>
        </w:rPr>
        <w:t>运行环境</w:t>
      </w:r>
    </w:p>
    <w:p>
      <w:pPr>
        <w:ind w:firstLine="420"/>
      </w:pPr>
      <w:r>
        <w:rPr>
          <w:rFonts w:ascii="Times New Roman" w:hAnsi="Times New Roman" w:eastAsia="宋体"/>
          <w:color w:val="000000"/>
        </w:rPr>
        <w:t>开发与运行环境应满足下列基本条件。进行视频任务时，建议使用具备摄像头权限的 Chromium 内核浏览器，并确保网络摄像头可被浏览器调用。</w:t>
      </w:r>
    </w:p>
    <w:p>
      <w:r>
        <w:rPr>
          <w:rFonts w:ascii="Times New Roman" w:hAnsi="Times New Roman" w:eastAsia="宋体"/>
          <w:color w:val="000000"/>
        </w:rPr>
        <w:t>硬件要求如表 2-1 所示：</w:t>
      </w:r>
    </w:p>
    <w:tbl>
      <w:tblPr>
        <w:tblStyle w:val="TableGrid"/>
        <w:tblW w:type="auto" w:w="0"/>
        <w:tblLayout w:type="fixed"/>
        <w:tblLook w:firstColumn="1" w:firstRow="1" w:lastColumn="0" w:lastRow="0" w:noHBand="0" w:noVBand="1" w:val="04A0"/>
      </w:tblPr>
      <w:tblGrid>
        <w:gridCol w:w="4150"/>
        <w:gridCol w:w="4150"/>
      </w:tblGrid>
      <w:tr>
        <w:trPr>
          <w:tblHeader w:val="true"/>
        </w:trPr>
        <w:tc>
          <w:tcPr>
            <w:tcW w:type="dxa" w:w="181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Times New Roman" w:hAnsi="Times New Roman" w:eastAsia="宋体"/>
                <w:b/>
                <w:color w:val="FFFFFF"/>
                <w:sz w:val="19"/>
              </w:rPr>
              <w:t>名称</w:t>
            </w:r>
          </w:p>
        </w:tc>
        <w:tc>
          <w:tcPr>
            <w:tcW w:type="dxa" w:w="606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Times New Roman" w:hAnsi="Times New Roman" w:eastAsia="宋体"/>
                <w:b/>
                <w:color w:val="FFFFFF"/>
                <w:sz w:val="19"/>
              </w:rPr>
              <w:t>基本要求</w:t>
            </w:r>
          </w:p>
        </w:tc>
      </w:tr>
      <w:tr>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处理器</w:t>
            </w:r>
          </w:p>
        </w:tc>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双核或更高性能处理器</w:t>
            </w:r>
          </w:p>
        </w:tc>
      </w:tr>
      <w:tr>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内存</w:t>
            </w:r>
          </w:p>
        </w:tc>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4 GB 及以上，建议 8 GB</w:t>
            </w:r>
          </w:p>
        </w:tc>
      </w:tr>
      <w:tr>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硬盘空间</w:t>
            </w:r>
          </w:p>
        </w:tc>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500 MB 及以上，用于代码、依赖和本地素材</w:t>
            </w:r>
          </w:p>
        </w:tc>
      </w:tr>
      <w:tr>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摄像头</w:t>
            </w:r>
          </w:p>
        </w:tc>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内置摄像头或标准 USB 摄像头；视频任务需要可授权访问</w:t>
            </w:r>
          </w:p>
        </w:tc>
      </w:tr>
      <w:tr>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外设</w:t>
            </w:r>
          </w:p>
        </w:tc>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显示器、键盘、鼠标；儿童操作场景建议使用触控屏或由评估人员协助</w:t>
            </w:r>
          </w:p>
        </w:tc>
      </w:tr>
    </w:tbl>
    <w:p>
      <w:pPr>
        <w:spacing w:after="40"/>
      </w:pPr>
    </w:p>
    <w:p>
      <w:r>
        <w:rPr>
          <w:rFonts w:ascii="Times New Roman" w:hAnsi="Times New Roman" w:eastAsia="宋体"/>
          <w:color w:val="000000"/>
        </w:rPr>
        <w:t>软件要求如表 2-2 所示：</w:t>
      </w:r>
    </w:p>
    <w:tbl>
      <w:tblPr>
        <w:tblStyle w:val="TableGrid"/>
        <w:tblW w:type="auto" w:w="0"/>
        <w:tblLayout w:type="fixed"/>
        <w:tblLook w:firstColumn="1" w:firstRow="1" w:lastColumn="0" w:lastRow="0" w:noHBand="0" w:noVBand="1" w:val="04A0"/>
      </w:tblPr>
      <w:tblGrid>
        <w:gridCol w:w="4150"/>
        <w:gridCol w:w="4150"/>
      </w:tblGrid>
      <w:tr>
        <w:trPr>
          <w:tblHeader w:val="true"/>
        </w:trPr>
        <w:tc>
          <w:tcPr>
            <w:tcW w:type="dxa" w:w="181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Times New Roman" w:hAnsi="Times New Roman" w:eastAsia="宋体"/>
                <w:b/>
                <w:color w:val="FFFFFF"/>
                <w:sz w:val="19"/>
              </w:rPr>
              <w:t>名称</w:t>
            </w:r>
          </w:p>
        </w:tc>
        <w:tc>
          <w:tcPr>
            <w:tcW w:type="dxa" w:w="606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Times New Roman" w:hAnsi="Times New Roman" w:eastAsia="宋体"/>
                <w:b/>
                <w:color w:val="FFFFFF"/>
                <w:sz w:val="19"/>
              </w:rPr>
              <w:t>基本要求</w:t>
            </w:r>
          </w:p>
        </w:tc>
      </w:tr>
      <w:tr>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操作系统</w:t>
            </w:r>
          </w:p>
        </w:tc>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Windows 10 或 Windows 11；其他支持 Node.js 与 Python 的系统可按环境适配</w:t>
            </w:r>
          </w:p>
        </w:tc>
      </w:tr>
      <w:tr>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Node.js</w:t>
            </w:r>
          </w:p>
        </w:tc>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18 或更高版本，用于 Node.js 服务入口</w:t>
            </w:r>
          </w:p>
        </w:tc>
      </w:tr>
      <w:tr>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Python</w:t>
            </w:r>
          </w:p>
        </w:tc>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3.10 或更高版本，用于 Python 服务入口与视频表情模块</w:t>
            </w:r>
          </w:p>
        </w:tc>
      </w:tr>
      <w:tr>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浏览器</w:t>
            </w:r>
          </w:p>
        </w:tc>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Chrome、Edge 等支持 MediaDevices 摄像头接口的现代浏览器</w:t>
            </w:r>
          </w:p>
        </w:tc>
      </w:tr>
      <w:tr>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视频任务依赖</w:t>
            </w:r>
          </w:p>
        </w:tc>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opencv-python、deepface、numpy；首次调用 DeepFace 时可能下载模型权重</w:t>
            </w:r>
          </w:p>
        </w:tc>
      </w:tr>
      <w:tr>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图像素材许可</w:t>
            </w:r>
          </w:p>
        </w:tc>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OpenMoji 素材遵循 CC BY-SA 4.0；再分发时须保留署名与相同方式共享说明</w:t>
            </w:r>
          </w:p>
        </w:tc>
      </w:tr>
    </w:tbl>
    <w:p>
      <w:pPr>
        <w:spacing w:after="40"/>
      </w:pPr>
    </w:p>
    <w:p>
      <w:pPr>
        <w:pStyle w:val="Heading1"/>
      </w:pPr>
      <w:r>
        <w:rPr>
          <w:rFonts w:ascii="Times New Roman" w:hAnsi="Times New Roman" w:eastAsia="宋体"/>
          <w:color w:val="000000"/>
        </w:rPr>
        <w:t>软件编译与运行环境</w:t>
      </w:r>
    </w:p>
    <w:p>
      <w:pPr>
        <w:ind w:firstLine="420"/>
      </w:pPr>
      <w:r>
        <w:rPr>
          <w:rFonts w:ascii="Times New Roman" w:hAnsi="Times New Roman" w:eastAsia="宋体"/>
          <w:color w:val="000000"/>
        </w:rPr>
        <w:t>项目使用原生 HTML、CSS、JavaScript 和 Python 编写，前端为单页评估界面，后端使用 Node.js 内置 HTTP 服务或 Python 标准库 ThreadingHTTPServer。当前图像题与会话数据保存在进程内存中，服务重启后会清空。</w:t>
      </w:r>
    </w:p>
    <w:p>
      <w:r>
        <w:rPr>
          <w:rFonts w:ascii="Times New Roman" w:hAnsi="Times New Roman" w:eastAsia="宋体"/>
          <w:color w:val="000000"/>
        </w:rPr>
        <w:t>编译和运行环境如表 3-1 所示：</w:t>
      </w:r>
    </w:p>
    <w:tbl>
      <w:tblPr>
        <w:tblStyle w:val="TableGrid"/>
        <w:tblW w:type="auto" w:w="0"/>
        <w:tblLayout w:type="fixed"/>
        <w:tblLook w:firstColumn="1" w:firstRow="1" w:lastColumn="0" w:lastRow="0" w:noHBand="0" w:noVBand="1" w:val="04A0"/>
      </w:tblPr>
      <w:tblGrid>
        <w:gridCol w:w="4150"/>
        <w:gridCol w:w="4150"/>
      </w:tblGrid>
      <w:tr>
        <w:trPr>
          <w:tblHeader w:val="true"/>
        </w:trPr>
        <w:tc>
          <w:tcPr>
            <w:tcW w:type="dxa" w:w="209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Times New Roman" w:hAnsi="Times New Roman" w:eastAsia="宋体"/>
                <w:b/>
                <w:color w:val="FFFFFF"/>
                <w:sz w:val="19"/>
              </w:rPr>
              <w:t>项目</w:t>
            </w:r>
          </w:p>
        </w:tc>
        <w:tc>
          <w:tcPr>
            <w:tcW w:type="dxa" w:w="5783"/>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Times New Roman" w:hAnsi="Times New Roman" w:eastAsia="宋体"/>
                <w:b/>
                <w:color w:val="FFFFFF"/>
                <w:sz w:val="19"/>
              </w:rPr>
              <w:t>说明</w:t>
            </w:r>
          </w:p>
        </w:tc>
      </w:tr>
      <w:tr>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前端</w:t>
            </w:r>
          </w:p>
        </w:tc>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frontend/index.html、frontend/app.js、frontend/styles.css</w:t>
            </w:r>
          </w:p>
        </w:tc>
      </w:tr>
      <w:tr>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Node.js 入口</w:t>
            </w:r>
          </w:p>
        </w:tc>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server.js；执行 npm start</w:t>
            </w:r>
          </w:p>
        </w:tc>
      </w:tr>
      <w:tr>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Python 入口</w:t>
            </w:r>
          </w:p>
        </w:tc>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run.py；执行 python run.py</w:t>
            </w:r>
          </w:p>
        </w:tc>
      </w:tr>
      <w:tr>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默认端口</w:t>
            </w:r>
          </w:p>
        </w:tc>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5173；可通过 PORT 环境变量调整</w:t>
            </w:r>
          </w:p>
        </w:tc>
      </w:tr>
      <w:tr>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图像题配置</w:t>
            </w:r>
          </w:p>
        </w:tc>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src/image_task/tasks.py；前端同步保留题目显示逻辑</w:t>
            </w:r>
          </w:p>
        </w:tc>
      </w:tr>
      <w:tr>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视频表情模块</w:t>
            </w:r>
          </w:p>
        </w:tc>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video_emotion_model；由 OpenCV 读取摄像头帧、DeepFace 输出帧级情绪</w:t>
            </w:r>
          </w:p>
        </w:tc>
      </w:tr>
      <w:tr>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报告与评分</w:t>
            </w:r>
          </w:p>
        </w:tc>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src/evaluation/scoring.py、src/report/generator.py 及对应 Node.js 逻辑</w:t>
            </w:r>
          </w:p>
        </w:tc>
      </w:tr>
    </w:tbl>
    <w:p>
      <w:pPr>
        <w:spacing w:after="40"/>
      </w:pPr>
    </w:p>
    <w:p>
      <w:pPr>
        <w:pStyle w:val="Heading1"/>
      </w:pPr>
      <w:r>
        <w:rPr>
          <w:rFonts w:ascii="Times New Roman" w:hAnsi="Times New Roman" w:eastAsia="宋体"/>
          <w:color w:val="000000"/>
        </w:rPr>
        <w:t>软件运行操作说明</w:t>
      </w:r>
    </w:p>
    <w:p>
      <w:pPr>
        <w:ind w:firstLine="420"/>
      </w:pPr>
      <w:r>
        <w:rPr>
          <w:rFonts w:ascii="Times New Roman" w:hAnsi="Times New Roman" w:eastAsia="宋体"/>
          <w:color w:val="000000"/>
        </w:rPr>
        <w:t>首次运行前，建议先在非正式测量环境中检查浏览器显示比例、音量、摄像头可用性和儿童对素材的舒适度。施测时应由具备儿童沟通与研究伦理意识的人员在场，儿童可以暂停、跳过或退出。</w:t>
      </w:r>
    </w:p>
    <w:p>
      <w:pPr>
        <w:pStyle w:val="Heading2"/>
      </w:pPr>
      <w:r>
        <w:rPr>
          <w:rFonts w:ascii="Times New Roman" w:hAnsi="Times New Roman" w:eastAsia="宋体"/>
          <w:color w:val="000000"/>
        </w:rPr>
        <w:t>4.1 安装基础运行环境</w:t>
      </w:r>
    </w:p>
    <w:p>
      <w:pPr>
        <w:ind w:firstLine="420"/>
      </w:pPr>
      <w:r>
        <w:rPr>
          <w:rFonts w:ascii="Times New Roman" w:hAnsi="Times New Roman" w:eastAsia="宋体"/>
          <w:color w:val="000000"/>
        </w:rPr>
        <w:t>将工程文件保存到本地目录后，选择一种后端入口启动。若只演示图像流程，可直接使用 Node.js；若需启用摄像头表情分析，应使用已安装视频依赖的 Python 环境，或使 Node.js 服务能调用该 Python 环境。</w:t>
      </w:r>
    </w:p>
    <w:p>
      <w:pPr>
        <w:spacing w:after="60"/>
        <w:ind w:left="420" w:hanging="272"/>
      </w:pPr>
      <w:r>
        <w:rPr>
          <w:rFonts w:ascii="Times New Roman" w:hAnsi="Times New Roman" w:eastAsia="宋体"/>
          <w:color w:val="000000"/>
        </w:rPr>
        <w:t>• Node.js 启动：在工程根目录执行 npm start，浏览器访问 http://localhost:5173/。</w:t>
      </w:r>
    </w:p>
    <w:p>
      <w:pPr>
        <w:spacing w:after="60"/>
        <w:ind w:left="420" w:hanging="272"/>
      </w:pPr>
      <w:r>
        <w:rPr>
          <w:rFonts w:ascii="Times New Roman" w:hAnsi="Times New Roman" w:eastAsia="宋体"/>
          <w:color w:val="000000"/>
        </w:rPr>
        <w:t>• Python 启动：在工程根目录执行 python run.py，浏览器访问 http://localhost:5173/。</w:t>
      </w:r>
    </w:p>
    <w:p>
      <w:pPr>
        <w:spacing w:after="60"/>
        <w:ind w:left="420" w:hanging="272"/>
      </w:pPr>
      <w:r>
        <w:rPr>
          <w:rFonts w:ascii="Times New Roman" w:hAnsi="Times New Roman" w:eastAsia="宋体"/>
          <w:color w:val="000000"/>
        </w:rPr>
        <w:t>• 视频依赖：执行 pip install -r video_emotion_model/requirements.txt；基础 Python 入口本身仅使用标准库。</w:t>
      </w:r>
    </w:p>
    <w:p>
      <w:pPr>
        <w:pStyle w:val="Heading2"/>
      </w:pPr>
      <w:r>
        <w:rPr>
          <w:rFonts w:ascii="Times New Roman" w:hAnsi="Times New Roman" w:eastAsia="宋体"/>
          <w:color w:val="000000"/>
        </w:rPr>
        <w:t>4.2 打开评估首页</w:t>
      </w:r>
    </w:p>
    <w:p>
      <w:pPr>
        <w:ind w:firstLine="420"/>
      </w:pPr>
      <w:r>
        <w:rPr>
          <w:rFonts w:ascii="Times New Roman" w:hAnsi="Times New Roman" w:eastAsia="宋体"/>
          <w:color w:val="000000"/>
        </w:rPr>
        <w:t>服务启动后，在浏览器打开首页。首页显示项目介绍、任务入口、当前完成进度与报告入口。报告按钮在全部任务完成前不可用；完成后可进入结果页和完整报告页。</w:t>
      </w:r>
    </w:p>
    <w:p>
      <w:pPr>
        <w:pStyle w:val="Heading2"/>
      </w:pPr>
      <w:r>
        <w:rPr>
          <w:rFonts w:ascii="Times New Roman" w:hAnsi="Times New Roman" w:eastAsia="宋体"/>
          <w:color w:val="000000"/>
        </w:rPr>
        <w:t>4.3 完成图片情绪识别任务</w:t>
      </w:r>
    </w:p>
    <w:p>
      <w:pPr>
        <w:ind w:firstLine="420"/>
      </w:pPr>
      <w:r>
        <w:rPr>
          <w:rFonts w:ascii="Times New Roman" w:hAnsi="Times New Roman" w:eastAsia="宋体"/>
          <w:color w:val="000000"/>
        </w:rPr>
        <w:t>进入“图像识别”页面后，系统依次呈现 6 道二选一题。每题从两张候选动画表情中选择与题干目标一致的一张，点击“确定并继续”提交。系统会即时提示判断结果，并在最后一题后自动进入视频任务或结果流程。当前版本每题 3 分，图片任务满分 18 分。</w:t>
      </w:r>
    </w:p>
    <w:p>
      <w:pPr>
        <w:pStyle w:val="Heading2"/>
      </w:pPr>
      <w:r>
        <w:rPr>
          <w:rFonts w:ascii="Times New Roman" w:hAnsi="Times New Roman" w:eastAsia="宋体"/>
          <w:color w:val="000000"/>
        </w:rPr>
        <w:t>4.4 完成视频表情任务</w:t>
      </w:r>
    </w:p>
    <w:p>
      <w:pPr>
        <w:ind w:firstLine="420"/>
      </w:pPr>
      <w:r>
        <w:rPr>
          <w:rFonts w:ascii="Times New Roman" w:hAnsi="Times New Roman" w:eastAsia="宋体"/>
          <w:color w:val="000000"/>
        </w:rPr>
        <w:t>进入“视频表情任务”页面后，视频循环播放。点击“开始捕捉并评分”时，浏览器会请求摄像头权限；允许后，前端在约 6 秒内以固定间隔采集 JPEG 帧并提交后端。后端对有效帧的主导情绪进行聚合，并与当前目标情绪比较。每题满分 4 分，共 3 题，视频任务满分 12 分。</w:t>
      </w:r>
    </w:p>
    <w:p>
      <w:pPr>
        <w:ind w:firstLine="420"/>
      </w:pPr>
      <w:r>
        <w:rPr>
          <w:rFonts w:ascii="Times New Roman" w:hAnsi="Times New Roman" w:eastAsia="宋体"/>
          <w:color w:val="000000"/>
        </w:rPr>
        <w:t>摄像头帧只在本次请求中用于分析，不写入工程目录；但正式研究仍应在知情同意中清晰说明摄像头数据处理方式、保留范围、访问权限与删除流程。未授权摄像头、未检测到可用表情或视频依赖缺失时，本题会提示失败，可在确认环境后重新捕捉。</w:t>
      </w:r>
    </w:p>
    <w:p>
      <w:pPr>
        <w:pStyle w:val="Heading2"/>
      </w:pPr>
      <w:r>
        <w:rPr>
          <w:rFonts w:ascii="Times New Roman" w:hAnsi="Times New Roman" w:eastAsia="宋体"/>
          <w:color w:val="000000"/>
        </w:rPr>
        <w:t>4.5 查看结果与报告</w:t>
      </w:r>
    </w:p>
    <w:p>
      <w:pPr>
        <w:ind w:firstLine="420"/>
      </w:pPr>
      <w:r>
        <w:rPr>
          <w:rFonts w:ascii="Times New Roman" w:hAnsi="Times New Roman" w:eastAsia="宋体"/>
          <w:color w:val="000000"/>
        </w:rPr>
        <w:t>完成 9 道任务后，结果页展示总分、图片得分、视频得分、完成题数和任务分层说明。报告页提供逐题选择、视频捕捉情绪、正确性/一致性和分项得分；可使用浏览器打印功能生成纸质或 PDF 留存。任何导出或保存结果的行为都应使用研究编号替代儿童真实姓名。</w:t>
      </w:r>
    </w:p>
    <w:p>
      <w:pPr>
        <w:pStyle w:val="Heading2"/>
      </w:pPr>
      <w:r>
        <w:rPr>
          <w:rFonts w:ascii="Times New Roman" w:hAnsi="Times New Roman" w:eastAsia="宋体"/>
          <w:color w:val="000000"/>
        </w:rPr>
        <w:t>4.6 重置演示会话</w:t>
      </w:r>
    </w:p>
    <w:p>
      <w:pPr>
        <w:ind w:firstLine="420"/>
      </w:pPr>
      <w:r>
        <w:rPr>
          <w:rFonts w:ascii="Times New Roman" w:hAnsi="Times New Roman" w:eastAsia="宋体"/>
          <w:color w:val="000000"/>
        </w:rPr>
        <w:t>调用 POST /api/session/reset 可以清空后端内存中的答案与进度；刷新浏览器页面会清空该浏览器侧的展示状态。正式施测前应确认上一位参与者的会话已经重置，并避免把多个儿童的结果混入同一会话。</w:t>
      </w:r>
    </w:p>
    <w:p>
      <w:pPr>
        <w:pStyle w:val="Heading2"/>
      </w:pPr>
      <w:r>
        <w:rPr>
          <w:rFonts w:ascii="Times New Roman" w:hAnsi="Times New Roman" w:eastAsia="宋体"/>
          <w:color w:val="000000"/>
        </w:rPr>
        <w:t>4.7 异常处理与退出</w:t>
      </w:r>
    </w:p>
    <w:tbl>
      <w:tblPr>
        <w:tblStyle w:val="TableGrid"/>
        <w:tblW w:type="auto" w:w="0"/>
        <w:tblLayout w:type="fixed"/>
        <w:tblLook w:firstColumn="1" w:firstRow="1" w:lastColumn="0" w:lastRow="0" w:noHBand="0" w:noVBand="1" w:val="04A0"/>
      </w:tblPr>
      <w:tblGrid>
        <w:gridCol w:w="4150"/>
        <w:gridCol w:w="4150"/>
      </w:tblGrid>
      <w:tr>
        <w:trPr>
          <w:tblHeader w:val="true"/>
        </w:trPr>
        <w:tc>
          <w:tcPr>
            <w:tcW w:type="dxa" w:w="226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Times New Roman" w:hAnsi="Times New Roman" w:eastAsia="宋体"/>
                <w:b/>
                <w:color w:val="FFFFFF"/>
                <w:sz w:val="19"/>
              </w:rPr>
              <w:t>情况</w:t>
            </w:r>
          </w:p>
        </w:tc>
        <w:tc>
          <w:tcPr>
            <w:tcW w:type="dxa" w:w="5613"/>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Times New Roman" w:hAnsi="Times New Roman" w:eastAsia="宋体"/>
                <w:b/>
                <w:color w:val="FFFFFF"/>
                <w:sz w:val="19"/>
              </w:rPr>
              <w:t>处理建议</w:t>
            </w:r>
          </w:p>
        </w:tc>
      </w:tr>
      <w:tr>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页面无法打开</w:t>
            </w:r>
          </w:p>
        </w:tc>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确认服务终端无报错、端口 5173 未被占用，并检查浏览器地址。</w:t>
            </w:r>
          </w:p>
        </w:tc>
      </w:tr>
      <w:tr>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图片加载失败</w:t>
            </w:r>
          </w:p>
        </w:tc>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确认 data/images 中的素材文件存在，且服务从工程根目录启动。</w:t>
            </w:r>
          </w:p>
        </w:tc>
      </w:tr>
      <w:tr>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摄像头无法启用</w:t>
            </w:r>
          </w:p>
        </w:tc>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在浏览器站点设置中允许摄像头；检查其他应用未占用摄像头，并重新打开任务页。</w:t>
            </w:r>
          </w:p>
        </w:tc>
      </w:tr>
      <w:tr>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视频识别返回失败</w:t>
            </w:r>
          </w:p>
        </w:tc>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安装 video_emotion_model/requirements.txt 中的依赖，确认 DeepFace 可用并检查 Python 环境。</w:t>
            </w:r>
          </w:p>
        </w:tc>
      </w:tr>
      <w:tr>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儿童表现出不适或拒答</w:t>
            </w:r>
          </w:p>
        </w:tc>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立即暂停或结束任务，记录施测事件；不得将中止或拒答直接计为 ASD 证据。</w:t>
            </w:r>
          </w:p>
        </w:tc>
      </w:tr>
    </w:tbl>
    <w:p>
      <w:pPr>
        <w:spacing w:after="40"/>
      </w:pPr>
    </w:p>
    <w:p>
      <w:pPr>
        <w:pStyle w:val="Heading1"/>
      </w:pPr>
      <w:r>
        <w:rPr>
          <w:rFonts w:ascii="Times New Roman" w:hAnsi="Times New Roman" w:eastAsia="宋体"/>
          <w:color w:val="000000"/>
        </w:rPr>
        <w:t>主要算法与评分逻辑</w:t>
      </w:r>
    </w:p>
    <w:p>
      <w:pPr>
        <w:pStyle w:val="Heading2"/>
      </w:pPr>
      <w:r>
        <w:rPr>
          <w:rFonts w:ascii="Times New Roman" w:hAnsi="Times New Roman" w:eastAsia="宋体"/>
          <w:color w:val="000000"/>
        </w:rPr>
        <w:t>5.1 静态图像任务</w:t>
      </w:r>
    </w:p>
    <w:p>
      <w:pPr>
        <w:ind w:firstLine="420"/>
      </w:pPr>
      <w:r>
        <w:rPr>
          <w:rFonts w:ascii="Times New Roman" w:hAnsi="Times New Roman" w:eastAsia="宋体"/>
          <w:color w:val="000000"/>
        </w:rPr>
        <w:t>图像任务由任务配置定义目标情绪、题干、候选素材和正确选项。当前运行版本使用开心、悲伤、恐惧三类动画表情，共 6 道二选一题。前端根据候选文件名生成选项，并将选择结果提交至 /api/answers/image；后端校验题号与选项后返回正确性与得分。</w:t>
      </w:r>
    </w:p>
    <w:p>
      <w:pPr>
        <w:pStyle w:val="Heading2"/>
      </w:pPr>
      <w:r>
        <w:rPr>
          <w:rFonts w:ascii="Times New Roman" w:hAnsi="Times New Roman" w:eastAsia="宋体"/>
          <w:color w:val="000000"/>
        </w:rPr>
        <w:t>5.2 摄像头表情聚合</w:t>
      </w:r>
    </w:p>
    <w:p>
      <w:pPr>
        <w:ind w:firstLine="420"/>
      </w:pPr>
      <w:r>
        <w:rPr>
          <w:rFonts w:ascii="Times New Roman" w:hAnsi="Times New Roman" w:eastAsia="宋体"/>
          <w:color w:val="000000"/>
        </w:rPr>
        <w:t>视频任务不直接分析播放视频中的人物，而是分析屏幕前参与者的浏览器摄像头画面。CameraEmotionAnalyzer 依次调用 OpenCV 和 DeepFace，对每个有效帧提取主导情绪及置信度，再用出现次数最多的情绪作为本题结果。英文情绪标签会统一映射为中文标签，以便与任务目标比较。</w:t>
      </w:r>
    </w:p>
    <w:p>
      <w:pPr>
        <w:pStyle w:val="Heading2"/>
      </w:pPr>
      <w:r>
        <w:rPr>
          <w:rFonts w:ascii="Times New Roman" w:hAnsi="Times New Roman" w:eastAsia="宋体"/>
          <w:color w:val="000000"/>
        </w:rPr>
        <w:t>5.3 评分与结果解释</w:t>
      </w:r>
    </w:p>
    <w:p>
      <w:pPr>
        <w:ind w:firstLine="420"/>
      </w:pPr>
      <w:r>
        <w:rPr>
          <w:rFonts w:ascii="Times New Roman" w:hAnsi="Times New Roman" w:eastAsia="宋体"/>
          <w:color w:val="000000"/>
        </w:rPr>
        <w:t>图片题选择正确得 3 分，视频题中摄像头聚合情绪与目标一致得 4 分；总分为图片 18 分与视频 12 分之和。现行原型将总分不高于 17 分显示为“高关注 / ASD 一致表现区”，18 至 22 分显示为“潜在风险区”，高于 22 分显示为“低风险 / 典型表现区”。这些名称和阈值只能作为开发阶段的界面分层，不能代替专业诊断或正式常模。</w:t>
      </w:r>
    </w:p>
    <w:p>
      <w:pPr>
        <w:pStyle w:val="Heading1"/>
      </w:pPr>
      <w:r>
        <w:rPr>
          <w:rFonts w:ascii="Times New Roman" w:hAnsi="Times New Roman" w:eastAsia="宋体"/>
          <w:color w:val="000000"/>
        </w:rPr>
        <w:t>接口设计</w:t>
      </w:r>
    </w:p>
    <w:p>
      <w:r>
        <w:rPr>
          <w:rFonts w:ascii="Times New Roman" w:hAnsi="Times New Roman" w:eastAsia="宋体"/>
          <w:color w:val="000000"/>
        </w:rPr>
        <w:t>系统以 JSON 作为前后端数据交换格式，核心接口如表 7-1 所示。</w:t>
      </w:r>
    </w:p>
    <w:tbl>
      <w:tblPr>
        <w:tblStyle w:val="TableGrid"/>
        <w:tblW w:type="auto" w:w="0"/>
        <w:tblLayout w:type="fixed"/>
        <w:tblLook w:firstColumn="1" w:firstRow="1" w:lastColumn="0" w:lastRow="0" w:noHBand="0" w:noVBand="1" w:val="04A0"/>
      </w:tblPr>
      <w:tblGrid>
        <w:gridCol w:w="2767"/>
        <w:gridCol w:w="2767"/>
        <w:gridCol w:w="2767"/>
      </w:tblGrid>
      <w:tr>
        <w:trPr>
          <w:tblHeader w:val="true"/>
        </w:trPr>
        <w:tc>
          <w:tcPr>
            <w:tcW w:type="dxa" w:w="85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Times New Roman" w:hAnsi="Times New Roman" w:eastAsia="宋体"/>
                <w:b/>
                <w:color w:val="FFFFFF"/>
                <w:sz w:val="19"/>
              </w:rPr>
              <w:t>方法</w:t>
            </w:r>
          </w:p>
        </w:tc>
        <w:tc>
          <w:tcPr>
            <w:tcW w:type="dxa" w:w="232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Times New Roman" w:hAnsi="Times New Roman" w:eastAsia="宋体"/>
                <w:b/>
                <w:color w:val="FFFFFF"/>
                <w:sz w:val="19"/>
              </w:rPr>
              <w:t>路径</w:t>
            </w:r>
          </w:p>
        </w:tc>
        <w:tc>
          <w:tcPr>
            <w:tcW w:type="dxa" w:w="470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Times New Roman" w:hAnsi="Times New Roman" w:eastAsia="宋体"/>
                <w:b/>
                <w:color w:val="FFFFFF"/>
                <w:sz w:val="19"/>
              </w:rPr>
              <w:t>作用</w:t>
            </w:r>
          </w:p>
        </w:tc>
      </w:tr>
      <w:tr>
        <w:tc>
          <w:tcPr>
            <w:tcW w:type="dxa" w:w="276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Times New Roman" w:hAnsi="Times New Roman" w:eastAsia="宋体"/>
                <w:color w:val="000000"/>
                <w:sz w:val="19"/>
              </w:rPr>
              <w:t>GET</w:t>
            </w:r>
          </w:p>
        </w:tc>
        <w:tc>
          <w:tcPr>
            <w:tcW w:type="dxa" w:w="276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/api/health</w:t>
            </w:r>
          </w:p>
        </w:tc>
        <w:tc>
          <w:tcPr>
            <w:tcW w:type="dxa" w:w="276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返回服务状态与版本信息。</w:t>
            </w:r>
          </w:p>
        </w:tc>
      </w:tr>
      <w:tr>
        <w:tc>
          <w:tcPr>
            <w:tcW w:type="dxa" w:w="2767"/>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Times New Roman" w:hAnsi="Times New Roman" w:eastAsia="宋体"/>
                <w:color w:val="000000"/>
                <w:sz w:val="19"/>
              </w:rPr>
              <w:t>GET</w:t>
            </w:r>
          </w:p>
        </w:tc>
        <w:tc>
          <w:tcPr>
            <w:tcW w:type="dxa" w:w="2767"/>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/api/session</w:t>
            </w:r>
          </w:p>
        </w:tc>
        <w:tc>
          <w:tcPr>
            <w:tcW w:type="dxa" w:w="2767"/>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返回当前演示会话与完成进度。</w:t>
            </w:r>
          </w:p>
        </w:tc>
      </w:tr>
      <w:tr>
        <w:tc>
          <w:tcPr>
            <w:tcW w:type="dxa" w:w="276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Times New Roman" w:hAnsi="Times New Roman" w:eastAsia="宋体"/>
                <w:color w:val="000000"/>
                <w:sz w:val="19"/>
              </w:rPr>
              <w:t>GET</w:t>
            </w:r>
          </w:p>
        </w:tc>
        <w:tc>
          <w:tcPr>
            <w:tcW w:type="dxa" w:w="276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/api/tasks/image</w:t>
            </w:r>
          </w:p>
        </w:tc>
        <w:tc>
          <w:tcPr>
            <w:tcW w:type="dxa" w:w="276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返回图像任务配置。</w:t>
            </w:r>
          </w:p>
        </w:tc>
      </w:tr>
      <w:tr>
        <w:tc>
          <w:tcPr>
            <w:tcW w:type="dxa" w:w="2767"/>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Times New Roman" w:hAnsi="Times New Roman" w:eastAsia="宋体"/>
                <w:color w:val="000000"/>
                <w:sz w:val="19"/>
              </w:rPr>
              <w:t>POST</w:t>
            </w:r>
          </w:p>
        </w:tc>
        <w:tc>
          <w:tcPr>
            <w:tcW w:type="dxa" w:w="2767"/>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/api/answers/image</w:t>
            </w:r>
          </w:p>
        </w:tc>
        <w:tc>
          <w:tcPr>
            <w:tcW w:type="dxa" w:w="2767"/>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提交 taskId 与 optionId，返回图片题正确性和得分。</w:t>
            </w:r>
          </w:p>
        </w:tc>
      </w:tr>
      <w:tr>
        <w:tc>
          <w:tcPr>
            <w:tcW w:type="dxa" w:w="276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Times New Roman" w:hAnsi="Times New Roman" w:eastAsia="宋体"/>
                <w:color w:val="000000"/>
                <w:sz w:val="19"/>
              </w:rPr>
              <w:t>GET</w:t>
            </w:r>
          </w:p>
        </w:tc>
        <w:tc>
          <w:tcPr>
            <w:tcW w:type="dxa" w:w="276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/api/video/sample</w:t>
            </w:r>
          </w:p>
        </w:tc>
        <w:tc>
          <w:tcPr>
            <w:tcW w:type="dxa" w:w="276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返回兼容性示例分析结果。</w:t>
            </w:r>
          </w:p>
        </w:tc>
      </w:tr>
      <w:tr>
        <w:tc>
          <w:tcPr>
            <w:tcW w:type="dxa" w:w="2767"/>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Times New Roman" w:hAnsi="Times New Roman" w:eastAsia="宋体"/>
                <w:color w:val="000000"/>
                <w:sz w:val="19"/>
              </w:rPr>
              <w:t>POST</w:t>
            </w:r>
          </w:p>
        </w:tc>
        <w:tc>
          <w:tcPr>
            <w:tcW w:type="dxa" w:w="2767"/>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/api/video/analyze</w:t>
            </w:r>
          </w:p>
        </w:tc>
        <w:tc>
          <w:tcPr>
            <w:tcW w:type="dxa" w:w="2767"/>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提交 taskId 和浏览器采集的帧，返回聚合情绪、一致性与得分。</w:t>
            </w:r>
          </w:p>
        </w:tc>
      </w:tr>
      <w:tr>
        <w:tc>
          <w:tcPr>
            <w:tcW w:type="dxa" w:w="276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Times New Roman" w:hAnsi="Times New Roman" w:eastAsia="宋体"/>
                <w:color w:val="000000"/>
                <w:sz w:val="19"/>
              </w:rPr>
              <w:t>GET</w:t>
            </w:r>
          </w:p>
        </w:tc>
        <w:tc>
          <w:tcPr>
            <w:tcW w:type="dxa" w:w="276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/api/report</w:t>
            </w:r>
          </w:p>
        </w:tc>
        <w:tc>
          <w:tcPr>
            <w:tcW w:type="dxa" w:w="2767"/>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在全部任务完成后返回综合报告；未完成时返回 409。</w:t>
            </w:r>
          </w:p>
        </w:tc>
      </w:tr>
      <w:tr>
        <w:tc>
          <w:tcPr>
            <w:tcW w:type="dxa" w:w="2767"/>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Times New Roman" w:hAnsi="Times New Roman" w:eastAsia="宋体"/>
                <w:color w:val="000000"/>
                <w:sz w:val="19"/>
              </w:rPr>
              <w:t>POST</w:t>
            </w:r>
          </w:p>
        </w:tc>
        <w:tc>
          <w:tcPr>
            <w:tcW w:type="dxa" w:w="2767"/>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/api/session/reset</w:t>
            </w:r>
          </w:p>
        </w:tc>
        <w:tc>
          <w:tcPr>
            <w:tcW w:type="dxa" w:w="2767"/>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清空后端内存中的会话答案和完成进度。</w:t>
            </w:r>
          </w:p>
        </w:tc>
      </w:tr>
    </w:tbl>
    <w:p>
      <w:pPr>
        <w:spacing w:after="40"/>
      </w:pPr>
    </w:p>
    <w:p>
      <w:pPr>
        <w:pStyle w:val="Heading1"/>
      </w:pPr>
      <w:r>
        <w:rPr>
          <w:rFonts w:ascii="Times New Roman" w:hAnsi="Times New Roman" w:eastAsia="宋体"/>
          <w:color w:val="000000"/>
        </w:rPr>
        <w:t>软件流程</w:t>
      </w:r>
    </w:p>
    <w:p>
      <w:pPr>
        <w:ind w:firstLine="420"/>
      </w:pPr>
      <w:r>
        <w:rPr>
          <w:rFonts w:ascii="Times New Roman" w:hAnsi="Times New Roman" w:eastAsia="宋体"/>
          <w:color w:val="000000"/>
        </w:rPr>
        <w:t>系统运行流程如下：</w:t>
      </w:r>
    </w:p>
    <w:p>
      <w:pPr>
        <w:spacing w:after="60"/>
        <w:ind w:left="420" w:hanging="272"/>
      </w:pPr>
      <w:r>
        <w:rPr>
          <w:rFonts w:ascii="Times New Roman" w:hAnsi="Times New Roman" w:eastAsia="宋体"/>
          <w:color w:val="000000"/>
        </w:rPr>
        <w:t>• 启动服务：执行 npm start 或 python run.py，向浏览器提供前端页面、图片素材、视频素材和 API。</w:t>
      </w:r>
    </w:p>
    <w:p>
      <w:pPr>
        <w:spacing w:after="60"/>
        <w:ind w:left="420" w:hanging="272"/>
      </w:pPr>
      <w:r>
        <w:rPr>
          <w:rFonts w:ascii="Times New Roman" w:hAnsi="Times New Roman" w:eastAsia="宋体"/>
          <w:color w:val="000000"/>
        </w:rPr>
        <w:t>• 初始化页面：前端读取会话进度，渲染首页、图像题、视频任务、结果页和报告页。</w:t>
      </w:r>
    </w:p>
    <w:p>
      <w:pPr>
        <w:spacing w:after="60"/>
        <w:ind w:left="420" w:hanging="272"/>
      </w:pPr>
      <w:r>
        <w:rPr>
          <w:rFonts w:ascii="Times New Roman" w:hAnsi="Times New Roman" w:eastAsia="宋体"/>
          <w:color w:val="000000"/>
        </w:rPr>
        <w:t>• 图片作答：用户选择候选图片，前端保存页面侧结果并调用图片答案接口；后端更新会话进度。</w:t>
      </w:r>
    </w:p>
    <w:p>
      <w:pPr>
        <w:spacing w:after="60"/>
        <w:ind w:left="420" w:hanging="272"/>
      </w:pPr>
      <w:r>
        <w:rPr>
          <w:rFonts w:ascii="Times New Roman" w:hAnsi="Times New Roman" w:eastAsia="宋体"/>
          <w:color w:val="000000"/>
        </w:rPr>
        <w:t>• 视频分析：浏览器取得摄像头权限，采集约 6 秒帧数据，后端调用表情聚合模块后返回本题结果。</w:t>
      </w:r>
    </w:p>
    <w:p>
      <w:pPr>
        <w:spacing w:after="60"/>
        <w:ind w:left="420" w:hanging="272"/>
      </w:pPr>
      <w:r>
        <w:rPr>
          <w:rFonts w:ascii="Times New Roman" w:hAnsi="Times New Roman" w:eastAsia="宋体"/>
          <w:color w:val="000000"/>
        </w:rPr>
        <w:t>• 汇总报告：9 道任务完成后汇总图片与视频得分，生成分项明细、界面分层与限制说明。</w:t>
      </w:r>
    </w:p>
    <w:p>
      <w:pPr>
        <w:pStyle w:val="Heading1"/>
      </w:pPr>
      <w:r>
        <w:rPr>
          <w:rFonts w:ascii="Times New Roman" w:hAnsi="Times New Roman" w:eastAsia="宋体"/>
          <w:color w:val="000000"/>
        </w:rPr>
        <w:t>模块名称与目录说明</w:t>
      </w:r>
    </w:p>
    <w:p>
      <w:r>
        <w:rPr>
          <w:rFonts w:ascii="Times New Roman" w:hAnsi="Times New Roman" w:eastAsia="宋体"/>
          <w:color w:val="000000"/>
        </w:rPr>
        <w:t>项目采用前后端分离但可由单一工程启动的组织方式，主要模块如表 9-1 所示。</w:t>
      </w:r>
    </w:p>
    <w:tbl>
      <w:tblPr>
        <w:tblStyle w:val="TableGrid"/>
        <w:tblW w:type="auto" w:w="0"/>
        <w:tblLayout w:type="fixed"/>
        <w:tblLook w:firstColumn="1" w:firstRow="1" w:lastColumn="0" w:lastRow="0" w:noHBand="0" w:noVBand="1" w:val="04A0"/>
      </w:tblPr>
      <w:tblGrid>
        <w:gridCol w:w="4150"/>
        <w:gridCol w:w="4150"/>
      </w:tblGrid>
      <w:tr>
        <w:trPr>
          <w:tblHeader w:val="true"/>
        </w:trPr>
        <w:tc>
          <w:tcPr>
            <w:tcW w:type="dxa" w:w="255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Times New Roman" w:hAnsi="Times New Roman" w:eastAsia="宋体"/>
                <w:b/>
                <w:color w:val="FFFFFF"/>
                <w:sz w:val="19"/>
              </w:rPr>
              <w:t>模块文件</w:t>
            </w:r>
          </w:p>
        </w:tc>
        <w:tc>
          <w:tcPr>
            <w:tcW w:type="dxa" w:w="527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rFonts w:ascii="Times New Roman" w:hAnsi="Times New Roman" w:eastAsia="宋体"/>
                <w:b/>
                <w:color w:val="FFFFFF"/>
                <w:sz w:val="19"/>
              </w:rPr>
              <w:t>模块名称或说明</w:t>
            </w:r>
          </w:p>
        </w:tc>
      </w:tr>
      <w:tr>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frontend/index.html</w:t>
            </w:r>
          </w:p>
        </w:tc>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单页评估界面结构。</w:t>
            </w:r>
          </w:p>
        </w:tc>
      </w:tr>
      <w:tr>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frontend/app.js</w:t>
            </w:r>
          </w:p>
        </w:tc>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页面切换、题目渲染、摄像头采集、接口调用和结果展示。</w:t>
            </w:r>
          </w:p>
        </w:tc>
      </w:tr>
      <w:tr>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frontend/styles.css</w:t>
            </w:r>
          </w:p>
        </w:tc>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儿童友好型界面样式与响应式布局。</w:t>
            </w:r>
          </w:p>
        </w:tc>
      </w:tr>
      <w:tr>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server.js</w:t>
            </w:r>
          </w:p>
        </w:tc>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Node.js HTTP 服务、静态资源服务、内存会话与 API。</w:t>
            </w:r>
          </w:p>
        </w:tc>
      </w:tr>
      <w:tr>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run.py / src/api_server.py</w:t>
            </w:r>
          </w:p>
        </w:tc>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Python HTTP 服务入口及兼容 API 实现。</w:t>
            </w:r>
          </w:p>
        </w:tc>
      </w:tr>
      <w:tr>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src/image_task/tasks.py</w:t>
            </w:r>
          </w:p>
        </w:tc>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图像题、候选选项和答案校验。</w:t>
            </w:r>
          </w:p>
        </w:tc>
      </w:tr>
      <w:tr>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src/video_task/analyzer.py</w:t>
            </w:r>
          </w:p>
        </w:tc>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浏览器采集帧的解码、分析调用和解释生成。</w:t>
            </w:r>
          </w:p>
        </w:tc>
      </w:tr>
      <w:tr>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video_emotion_model/model.py</w:t>
            </w:r>
          </w:p>
        </w:tc>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OpenCV 与 DeepFace 的帧级表情分类及时间窗口聚合。</w:t>
            </w:r>
          </w:p>
        </w:tc>
      </w:tr>
      <w:tr>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src/evaluation/scoring.py</w:t>
            </w:r>
          </w:p>
        </w:tc>
        <w:tc>
          <w:tcPr>
            <w:tcW w:type="dxa" w:w="415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图片、视频与总分汇总及原型分层逻辑。</w:t>
            </w:r>
          </w:p>
        </w:tc>
      </w:tr>
      <w:tr>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data/images/ATTRIBUTION.md</w:t>
            </w:r>
          </w:p>
        </w:tc>
        <w:tc>
          <w:tcPr>
            <w:tcW w:type="dxa" w:w="4150"/>
            <w:shd w:fill="EAF2F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left"/>
            </w:pPr>
            <w:r>
              <w:rPr>
                <w:rFonts w:ascii="Times New Roman" w:hAnsi="Times New Roman" w:eastAsia="宋体"/>
                <w:color w:val="000000"/>
                <w:sz w:val="19"/>
              </w:rPr>
              <w:t>动画表情素材来源与 CC BY-SA 4.0 许可说明。</w:t>
            </w:r>
          </w:p>
        </w:tc>
      </w:tr>
    </w:tbl>
    <w:p>
      <w:pPr>
        <w:spacing w:after="40"/>
      </w:pPr>
    </w:p>
    <w:p>
      <w:pPr>
        <w:pStyle w:val="Heading1"/>
      </w:pPr>
      <w:r>
        <w:rPr>
          <w:rFonts w:ascii="Times New Roman" w:hAnsi="Times New Roman" w:eastAsia="宋体"/>
          <w:color w:val="000000"/>
        </w:rPr>
        <w:t>数据安全与使用边界</w:t>
      </w:r>
    </w:p>
    <w:p>
      <w:pPr>
        <w:spacing w:after="60"/>
        <w:ind w:left="420" w:hanging="272"/>
      </w:pPr>
      <w:r>
        <w:rPr>
          <w:rFonts w:ascii="Times New Roman" w:hAnsi="Times New Roman" w:eastAsia="宋体"/>
          <w:color w:val="000000"/>
        </w:rPr>
        <w:t>• 本项目当前以进程内存保存会话答案，服务停止或重启后会清空；不要把演示内存机制当作正式研究的数据管理方案。</w:t>
      </w:r>
    </w:p>
    <w:p>
      <w:pPr>
        <w:spacing w:after="60"/>
        <w:ind w:left="420" w:hanging="272"/>
      </w:pPr>
      <w:r>
        <w:rPr>
          <w:rFonts w:ascii="Times New Roman" w:hAnsi="Times New Roman" w:eastAsia="宋体"/>
          <w:color w:val="000000"/>
        </w:rPr>
        <w:t>• 正式研究应使用研究编号、最小必要数据、访问控制、加密存储、审计记录、保留期限和安全删除机制。</w:t>
      </w:r>
    </w:p>
    <w:p>
      <w:pPr>
        <w:spacing w:after="60"/>
        <w:ind w:left="420" w:hanging="272"/>
      </w:pPr>
      <w:r>
        <w:rPr>
          <w:rFonts w:ascii="Times New Roman" w:hAnsi="Times New Roman" w:eastAsia="宋体"/>
          <w:color w:val="000000"/>
        </w:rPr>
        <w:t>• 任何摄像头、图像、视频或诊断相关信息的采集与使用，都应取得相应伦理批准和监护人知情同意，并允许儿童随时退出。</w:t>
      </w:r>
    </w:p>
    <w:p>
      <w:pPr>
        <w:spacing w:after="60"/>
        <w:ind w:left="420" w:hanging="272"/>
      </w:pPr>
      <w:r>
        <w:rPr>
          <w:rFonts w:ascii="Times New Roman" w:hAnsi="Times New Roman" w:eastAsia="宋体"/>
          <w:color w:val="000000"/>
        </w:rPr>
        <w:t>• OpenMoji 素材的署名和相同方式共享要求应随软件或材料再分发一并保留；正式刺激材料应另行完成授权与预试。</w:t>
      </w:r>
    </w:p>
    <w:sectPr w:rsidR="00FC693F" w:rsidRPr="0006063C" w:rsidSect="00034616">
      <w:footerReference w:type="default" r:id="rId9"/>
      <w:pgSz w:w="11906" w:h="16838"/>
      <w:pgMar w:top="1440" w:right="1803" w:bottom="1440" w:left="1803"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宋体"/>
        <w:color w:val="000000"/>
        <w:sz w:val="16"/>
      </w:rPr>
      <w:t>孤独症儿童表情识别常模评估系统 说明手册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60" w:line="240" w:lineRule="auto" w:before="0"/>
      <w:contextualSpacing/>
    </w:pPr>
    <w:rPr>
      <w:rFonts w:asciiTheme="majorHAnsi" w:eastAsiaTheme="majorEastAsia" w:hAnsiTheme="majorHAnsi" w:cstheme="majorBidi" w:ascii="Times New Roman" w:hAnsi="Times New Roman" w:eastAsia="宋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