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BD6FA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-27940</wp:posOffset>
            </wp:positionH>
            <wp:positionV relativeFrom="page">
              <wp:posOffset>-13970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9A92F">
      <w:pPr>
        <w:spacing w:before="5000"/>
      </w:pPr>
    </w:p>
    <w:p w14:paraId="37AB8A9D">
      <w:pPr>
        <w:spacing w:after="600"/>
        <w:ind w:left="1200" w:right="1200"/>
        <w:rPr>
          <w:rFonts w:hint="eastAsia"/>
          <w:b/>
          <w:color w:val="1E293B"/>
          <w:spacing w:val="40"/>
          <w:sz w:val="72"/>
          <w:lang w:val="en-US" w:eastAsia="zh-CN"/>
        </w:rPr>
      </w:pPr>
      <w:r>
        <w:rPr>
          <w:rFonts w:hint="eastAsia"/>
          <w:b/>
          <w:color w:val="1E293B"/>
          <w:spacing w:val="40"/>
          <w:sz w:val="72"/>
          <w:lang w:val="en-US" w:eastAsia="zh-CN"/>
        </w:rPr>
        <w:t>PaperRader</w:t>
      </w:r>
    </w:p>
    <w:p w14:paraId="246099A3">
      <w:pPr>
        <w:spacing w:after="600"/>
        <w:ind w:left="1200" w:right="1200"/>
      </w:pPr>
      <w:r>
        <w:rPr>
          <w:rFonts w:ascii="Calibri" w:hAnsi="Calibri" w:eastAsia="微软雅黑"/>
          <w:color w:val="2563EB"/>
          <w:spacing w:val="20"/>
          <w:sz w:val="36"/>
        </w:rPr>
        <w:t>学术智读助手</w:t>
      </w:r>
    </w:p>
    <w:p w14:paraId="12CB541C">
      <w:pPr>
        <w:spacing w:after="3000"/>
        <w:ind w:left="1200" w:right="1200"/>
      </w:pPr>
      <w:r>
        <w:rPr>
          <w:rFonts w:ascii="Calibri" w:hAnsi="Calibri" w:eastAsia="微软雅黑"/>
          <w:color w:val="475569"/>
          <w:spacing w:val="10"/>
          <w:sz w:val="24"/>
        </w:rPr>
        <w:t>专项项目计划书</w:t>
      </w:r>
      <w:bookmarkStart w:id="6" w:name="_GoBack"/>
      <w:bookmarkEnd w:id="6"/>
    </w:p>
    <w:p w14:paraId="165F9A43">
      <w:pPr>
        <w:ind w:left="1200"/>
        <w:rPr>
          <w:rFonts w:ascii="Calibri" w:hAnsi="Calibri" w:eastAsia="微软雅黑"/>
          <w:color w:val="94A3B8"/>
          <w:sz w:val="20"/>
        </w:rPr>
      </w:pPr>
      <w:r>
        <w:rPr>
          <w:rFonts w:hint="eastAsia"/>
          <w:color w:val="94A3B8"/>
          <w:sz w:val="20"/>
          <w:lang w:val="en-US" w:eastAsia="zh-CN"/>
        </w:rPr>
        <w:t>哈基米绿豆（华东师范大学）</w:t>
      </w:r>
      <w:r>
        <w:rPr>
          <w:rFonts w:ascii="Calibri" w:hAnsi="Calibri" w:eastAsia="微软雅黑"/>
          <w:color w:val="94A3B8"/>
          <w:sz w:val="20"/>
        </w:rPr>
        <w:t xml:space="preserve">  |  2026年5月</w:t>
      </w:r>
    </w:p>
    <w:p w14:paraId="127A2B74">
      <w:pPr>
        <w:ind w:left="1200"/>
        <w:rPr>
          <w:rFonts w:ascii="Calibri" w:hAnsi="Calibri" w:eastAsia="微软雅黑"/>
          <w:color w:val="94A3B8"/>
          <w:sz w:val="20"/>
        </w:rPr>
      </w:pPr>
      <w:r>
        <w:rPr>
          <w:rFonts w:hint="eastAsia" w:ascii="Calibri" w:hAnsi="Calibri" w:eastAsia="微软雅黑"/>
          <w:b/>
          <w:bCs/>
          <w:color w:val="94A3B8"/>
          <w:sz w:val="32"/>
          <w:szCs w:val="40"/>
        </w:rPr>
        <w:t>github仓库地址：https://github.com/AkanthaWang/PaperRadar</w:t>
      </w:r>
    </w:p>
    <w:p w14:paraId="4CE42338">
      <w:pPr>
        <w:ind w:left="0" w:leftChars="0" w:firstLine="0" w:firstLineChars="0"/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3070481F">
      <w:pPr>
        <w:pStyle w:val="2"/>
      </w:pPr>
      <w:r>
        <w:t>目录</w:t>
      </w:r>
      <w:bookmarkStart w:id="0" w:name="_Toc000"/>
      <w:bookmarkEnd w:id="0"/>
    </w:p>
    <w:p w14:paraId="48742196">
      <w:r>
        <w:fldChar w:fldCharType="begin"/>
      </w:r>
      <w:r>
        <w:instrText xml:space="preserve"> TOC \o "1-3" \h \z \u </w:instrText>
      </w:r>
      <w:r>
        <w:fldChar w:fldCharType="separate"/>
      </w:r>
    </w:p>
    <w:p w14:paraId="4A7DB472">
      <w:pPr>
        <w:pStyle w:val="7"/>
        <w:rPr>
          <w:rFonts w:hint="eastAsia" w:eastAsia="微软雅黑"/>
          <w:lang w:eastAsia="zh-CN"/>
        </w:rPr>
      </w:pPr>
      <w:r>
        <w:t>一、项目概述</w:t>
      </w:r>
      <w:r>
        <w:tab/>
      </w:r>
      <w:r>
        <w:rPr>
          <w:rFonts w:hint="eastAsia"/>
          <w:lang w:val="en-US" w:eastAsia="zh-CN"/>
        </w:rPr>
        <w:t>4</w:t>
      </w:r>
    </w:p>
    <w:p w14:paraId="265D8A80">
      <w:pPr>
        <w:pStyle w:val="8"/>
        <w:rPr>
          <w:rFonts w:hint="eastAsia" w:eastAsia="微软雅黑"/>
          <w:lang w:eastAsia="zh-CN"/>
        </w:rPr>
      </w:pPr>
      <w:r>
        <w:t>1.1 智能体研发背景</w:t>
      </w:r>
      <w:r>
        <w:tab/>
      </w:r>
      <w:r>
        <w:rPr>
          <w:rFonts w:hint="eastAsia"/>
          <w:lang w:val="en-US" w:eastAsia="zh-CN"/>
        </w:rPr>
        <w:t>4</w:t>
      </w:r>
    </w:p>
    <w:p w14:paraId="3633BB85">
      <w:pPr>
        <w:pStyle w:val="8"/>
      </w:pPr>
      <w:r>
        <w:t>1.2 应用场景</w:t>
      </w:r>
      <w:r>
        <w:tab/>
      </w:r>
      <w:r>
        <w:t>4</w:t>
      </w:r>
    </w:p>
    <w:p w14:paraId="4518A1C8">
      <w:pPr>
        <w:pStyle w:val="8"/>
      </w:pPr>
      <w:r>
        <w:t>1.3 核心定位与创新点</w:t>
      </w:r>
      <w:r>
        <w:tab/>
      </w:r>
      <w:r>
        <w:t>5</w:t>
      </w:r>
    </w:p>
    <w:p w14:paraId="3A35CCE4">
      <w:pPr>
        <w:pStyle w:val="7"/>
        <w:rPr>
          <w:rFonts w:hint="eastAsia" w:eastAsia="微软雅黑"/>
          <w:lang w:eastAsia="zh-CN"/>
        </w:rPr>
      </w:pPr>
      <w:r>
        <w:t>二、技术架构</w:t>
      </w:r>
      <w:r>
        <w:tab/>
      </w:r>
      <w:r>
        <w:rPr>
          <w:rFonts w:hint="eastAsia"/>
          <w:lang w:val="en-US" w:eastAsia="zh-CN"/>
        </w:rPr>
        <w:t>6</w:t>
      </w:r>
    </w:p>
    <w:p w14:paraId="4A5AD2F5">
      <w:pPr>
        <w:pStyle w:val="8"/>
        <w:rPr>
          <w:rFonts w:hint="eastAsia" w:eastAsia="微软雅黑"/>
          <w:lang w:eastAsia="zh-CN"/>
        </w:rPr>
      </w:pPr>
      <w:r>
        <w:t>2.1 大模型底座</w:t>
      </w:r>
      <w:r>
        <w:tab/>
      </w:r>
      <w:r>
        <w:rPr>
          <w:rFonts w:hint="eastAsia"/>
          <w:lang w:val="en-US" w:eastAsia="zh-CN"/>
        </w:rPr>
        <w:t>6</w:t>
      </w:r>
    </w:p>
    <w:p w14:paraId="66EDB28A">
      <w:pPr>
        <w:pStyle w:val="8"/>
        <w:rPr>
          <w:rFonts w:hint="eastAsia" w:eastAsia="微软雅黑"/>
          <w:lang w:eastAsia="zh-CN"/>
        </w:rPr>
      </w:pPr>
      <w:r>
        <w:t>2.2 交互框架</w:t>
      </w:r>
      <w:r>
        <w:tab/>
      </w:r>
      <w:r>
        <w:rPr>
          <w:rFonts w:hint="eastAsia"/>
          <w:lang w:val="en-US" w:eastAsia="zh-CN"/>
        </w:rPr>
        <w:t>6</w:t>
      </w:r>
    </w:p>
    <w:p w14:paraId="53DB1E72">
      <w:pPr>
        <w:pStyle w:val="8"/>
        <w:rPr>
          <w:rFonts w:hint="eastAsia" w:eastAsia="微软雅黑"/>
          <w:lang w:val="en-US" w:eastAsia="zh-CN"/>
        </w:rPr>
      </w:pPr>
      <w:r>
        <w:t>2.3 自主决策算法</w:t>
      </w:r>
      <w:r>
        <w:tab/>
      </w:r>
      <w:r>
        <w:rPr>
          <w:rFonts w:hint="eastAsia"/>
          <w:lang w:val="en-US" w:eastAsia="zh-CN"/>
        </w:rPr>
        <w:t>7</w:t>
      </w:r>
    </w:p>
    <w:p w14:paraId="4E4B52CC">
      <w:pPr>
        <w:pStyle w:val="8"/>
        <w:rPr>
          <w:rFonts w:hint="eastAsia" w:eastAsia="微软雅黑"/>
          <w:lang w:eastAsia="zh-CN"/>
        </w:rPr>
      </w:pPr>
      <w:r>
        <w:t>2.4 多模态融合能力</w:t>
      </w:r>
      <w:r>
        <w:tab/>
      </w:r>
      <w:r>
        <w:rPr>
          <w:rFonts w:hint="eastAsia"/>
          <w:lang w:val="en-US" w:eastAsia="zh-CN"/>
        </w:rPr>
        <w:t>7</w:t>
      </w:r>
    </w:p>
    <w:p w14:paraId="2673006B">
      <w:pPr>
        <w:pStyle w:val="8"/>
        <w:rPr>
          <w:rFonts w:hint="eastAsia" w:eastAsia="微软雅黑"/>
          <w:lang w:eastAsia="zh-CN"/>
        </w:rPr>
      </w:pPr>
      <w:r>
        <w:t>2.5 数据处理机制</w:t>
      </w:r>
      <w:r>
        <w:tab/>
      </w:r>
      <w:r>
        <w:rPr>
          <w:rFonts w:hint="eastAsia"/>
          <w:lang w:val="en-US" w:eastAsia="zh-CN"/>
        </w:rPr>
        <w:t>8</w:t>
      </w:r>
    </w:p>
    <w:p w14:paraId="49BA1660">
      <w:pPr>
        <w:pStyle w:val="7"/>
        <w:rPr>
          <w:rFonts w:hint="eastAsia" w:eastAsia="微软雅黑"/>
          <w:lang w:eastAsia="zh-CN"/>
        </w:rPr>
      </w:pPr>
      <w:r>
        <w:t>三、功能与性能</w:t>
      </w:r>
      <w:r>
        <w:tab/>
      </w:r>
      <w:r>
        <w:rPr>
          <w:rFonts w:hint="eastAsia"/>
          <w:lang w:val="en-US" w:eastAsia="zh-CN"/>
        </w:rPr>
        <w:t>8</w:t>
      </w:r>
    </w:p>
    <w:p w14:paraId="20E52A17">
      <w:pPr>
        <w:pStyle w:val="8"/>
        <w:rPr>
          <w:rFonts w:hint="eastAsia" w:eastAsia="微软雅黑"/>
          <w:lang w:eastAsia="zh-CN"/>
        </w:rPr>
      </w:pPr>
      <w:r>
        <w:t>3.1 核心功能模块</w:t>
      </w:r>
      <w:r>
        <w:tab/>
      </w:r>
      <w:r>
        <w:rPr>
          <w:rFonts w:hint="eastAsia"/>
          <w:lang w:val="en-US" w:eastAsia="zh-CN"/>
        </w:rPr>
        <w:t>8</w:t>
      </w:r>
    </w:p>
    <w:p w14:paraId="4822FF28">
      <w:pPr>
        <w:pStyle w:val="8"/>
        <w:rPr>
          <w:rFonts w:hint="eastAsia" w:eastAsia="微软雅黑"/>
          <w:lang w:eastAsia="zh-CN"/>
        </w:rPr>
      </w:pPr>
      <w:r>
        <w:t>3.2 交互体验设计</w:t>
      </w:r>
      <w:r>
        <w:tab/>
      </w:r>
      <w:r>
        <w:rPr>
          <w:rFonts w:hint="eastAsia"/>
          <w:lang w:val="en-US" w:eastAsia="zh-CN"/>
        </w:rPr>
        <w:t>9</w:t>
      </w:r>
    </w:p>
    <w:p w14:paraId="44C92A01">
      <w:pPr>
        <w:pStyle w:val="8"/>
        <w:rPr>
          <w:rFonts w:hint="default" w:eastAsia="微软雅黑"/>
          <w:lang w:val="en-US" w:eastAsia="zh-CN"/>
        </w:rPr>
      </w:pPr>
      <w:r>
        <w:t>3.3 性能指标</w:t>
      </w:r>
      <w:r>
        <w:tab/>
      </w:r>
      <w:r>
        <w:rPr>
          <w:rFonts w:hint="eastAsia"/>
          <w:lang w:val="en-US" w:eastAsia="zh-CN"/>
        </w:rPr>
        <w:t>10</w:t>
      </w:r>
    </w:p>
    <w:p w14:paraId="708D186B">
      <w:pPr>
        <w:pStyle w:val="7"/>
        <w:rPr>
          <w:rFonts w:hint="default" w:eastAsia="微软雅黑"/>
          <w:lang w:val="en-US" w:eastAsia="zh-CN"/>
        </w:rPr>
      </w:pPr>
      <w:r>
        <w:t>四、应用落地</w:t>
      </w:r>
      <w:r>
        <w:tab/>
      </w:r>
      <w:r>
        <w:rPr>
          <w:rFonts w:hint="eastAsia"/>
          <w:lang w:val="en-US" w:eastAsia="zh-CN"/>
        </w:rPr>
        <w:t>10</w:t>
      </w:r>
    </w:p>
    <w:p w14:paraId="34466C8C">
      <w:pPr>
        <w:pStyle w:val="8"/>
        <w:rPr>
          <w:rFonts w:hint="default" w:eastAsia="微软雅黑"/>
          <w:lang w:val="en-US" w:eastAsia="zh-CN"/>
        </w:rPr>
      </w:pPr>
      <w:r>
        <w:t>4.1 已落地场景</w:t>
      </w:r>
      <w:r>
        <w:tab/>
      </w:r>
      <w:r>
        <w:rPr>
          <w:rFonts w:hint="eastAsia"/>
          <w:lang w:val="en-US" w:eastAsia="zh-CN"/>
        </w:rPr>
        <w:t>10</w:t>
      </w:r>
    </w:p>
    <w:p w14:paraId="2089E104">
      <w:pPr>
        <w:pStyle w:val="8"/>
        <w:rPr>
          <w:rFonts w:hint="default" w:eastAsia="微软雅黑"/>
          <w:lang w:val="en-US" w:eastAsia="zh-CN"/>
        </w:rPr>
      </w:pPr>
      <w:r>
        <w:t>4.2 未落地项目规划</w:t>
      </w:r>
      <w:r>
        <w:tab/>
      </w:r>
      <w:r>
        <w:rPr>
          <w:rFonts w:hint="eastAsia"/>
          <w:lang w:val="en-US" w:eastAsia="zh-CN"/>
        </w:rPr>
        <w:t>11</w:t>
      </w:r>
    </w:p>
    <w:p w14:paraId="33C5DF51">
      <w:pPr>
        <w:pStyle w:val="7"/>
        <w:rPr>
          <w:rFonts w:hint="default" w:eastAsia="微软雅黑"/>
          <w:lang w:val="en-US" w:eastAsia="zh-CN"/>
        </w:rPr>
      </w:pPr>
      <w:r>
        <w:t>五、竞品分析</w:t>
      </w:r>
      <w:r>
        <w:tab/>
      </w:r>
      <w:r>
        <w:rPr>
          <w:rFonts w:hint="eastAsia"/>
          <w:lang w:val="en-US" w:eastAsia="zh-CN"/>
        </w:rPr>
        <w:t>12</w:t>
      </w:r>
    </w:p>
    <w:p w14:paraId="5B6FA761">
      <w:pPr>
        <w:pStyle w:val="8"/>
        <w:rPr>
          <w:rFonts w:hint="default" w:eastAsia="微软雅黑"/>
          <w:lang w:val="en-US" w:eastAsia="zh-CN"/>
        </w:rPr>
      </w:pPr>
      <w:r>
        <w:t>5.1 国外竞品</w:t>
      </w:r>
      <w:r>
        <w:tab/>
      </w:r>
      <w:r>
        <w:rPr>
          <w:rFonts w:hint="eastAsia"/>
          <w:lang w:val="en-US" w:eastAsia="zh-CN"/>
        </w:rPr>
        <w:t>12</w:t>
      </w:r>
    </w:p>
    <w:p w14:paraId="08635FB0">
      <w:pPr>
        <w:pStyle w:val="8"/>
        <w:rPr>
          <w:rFonts w:hint="default" w:eastAsia="微软雅黑"/>
          <w:lang w:val="en-US" w:eastAsia="zh-CN"/>
        </w:rPr>
      </w:pPr>
      <w:r>
        <w:t>5.2 国内竞品</w:t>
      </w:r>
      <w:r>
        <w:tab/>
      </w:r>
      <w:r>
        <w:rPr>
          <w:rFonts w:hint="eastAsia"/>
          <w:lang w:val="en-US" w:eastAsia="zh-CN"/>
        </w:rPr>
        <w:t>13</w:t>
      </w:r>
    </w:p>
    <w:p w14:paraId="29C802D0">
      <w:pPr>
        <w:pStyle w:val="8"/>
        <w:rPr>
          <w:rFonts w:hint="default" w:eastAsia="微软雅黑"/>
          <w:lang w:val="en-US" w:eastAsia="zh-CN"/>
        </w:rPr>
      </w:pPr>
      <w:r>
        <w:t>5.3 竞争优势总结</w:t>
      </w:r>
      <w:r>
        <w:tab/>
      </w:r>
      <w:r>
        <w:rPr>
          <w:rFonts w:hint="eastAsia"/>
          <w:lang w:val="en-US" w:eastAsia="zh-CN"/>
        </w:rPr>
        <w:t>13</w:t>
      </w:r>
    </w:p>
    <w:p w14:paraId="01F833B5">
      <w:r>
        <w:fldChar w:fldCharType="end"/>
      </w:r>
    </w:p>
    <w:p w14:paraId="34FF66CB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040218F1">
      <w:pPr>
        <w:pStyle w:val="2"/>
      </w:pPr>
      <w:r>
        <w:t>一、项目概述</w:t>
      </w:r>
      <w:bookmarkStart w:id="1" w:name="_Toc001"/>
      <w:bookmarkEnd w:id="1"/>
    </w:p>
    <w:p w14:paraId="24B0BDD7">
      <w:pPr>
        <w:pStyle w:val="3"/>
      </w:pPr>
      <w:r>
        <w:t>1.1 智能体研发背景</w:t>
      </w:r>
    </w:p>
    <w:p w14:paraId="447B0339">
      <w:r>
        <w:t>在人工智能快速发展的时代背景下，学术研究者和高校学生面临着信息过载的严峻挑战。每年全球发表的学术论文超过300万篇，学术会议、期刊、教材等学习资源呈指数级增长。传统的文献阅读和知识整理方式已难以满足高效学习与研究的需求。</w:t>
      </w:r>
    </w:p>
    <w:p w14:paraId="0E4A1380">
      <w:r>
        <w:t>与此同时，以大语言模型（LLM）为代表的人工智能技术取得了突破性进展，为构建智能化的学术助手提供了坚实的技术基础。基于这一背景，我们研发了</w:t>
      </w:r>
      <w:r>
        <w:rPr>
          <w:rFonts w:hint="eastAsia"/>
          <w:lang w:val="en-US" w:eastAsia="zh-CN"/>
        </w:rPr>
        <w:t>PaperRader</w:t>
      </w:r>
      <w:r>
        <w:t xml:space="preserve"> 学术智读助手——一款面向学术学习场景的智能体系统，旨在通过自动化、智能化的方式，帮助用户高效处理学术资料、提取核心知识、构建个人知识体系。</w:t>
      </w:r>
    </w:p>
    <w:p w14:paraId="71F6FD9F">
      <w:r>
        <w:t>PaperRadar 已在情感计算研究领域成功验证了技术路线的可行性，实现了从论文发现、筛选、下载、解析到结构化报告生成的完整流水线。在此基础上，我们将应用场景从科研论文扩展至教材、课程讲义、学术专著等更广泛的学习资料，打造通用的学术智读平台。</w:t>
      </w:r>
    </w:p>
    <w:p w14:paraId="0F7CD25D">
      <w:pPr>
        <w:pStyle w:val="3"/>
      </w:pPr>
      <w:r>
        <w:t>1.2 应用场景</w:t>
      </w:r>
    </w:p>
    <w:p w14:paraId="151BEB43">
      <w:r>
        <w:rPr>
          <w:rFonts w:hint="eastAsia"/>
          <w:lang w:val="en-US" w:eastAsia="zh-CN"/>
        </w:rPr>
        <w:t>PaperRader</w:t>
      </w:r>
      <w:r>
        <w:t>学术智读助手主要面向以下核心应用场景：</w:t>
      </w:r>
    </w:p>
    <w:p w14:paraId="5A0AEB4B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1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rFonts w:hint="eastAsia"/>
          <w:color w:val="1E293B"/>
          <w:sz w:val="21"/>
          <w:szCs w:val="22"/>
          <w:lang w:val="en-US" w:eastAsia="zh-CN"/>
        </w:rPr>
        <w:t xml:space="preserve"> </w:t>
      </w:r>
      <w:r>
        <w:rPr>
          <w:b/>
          <w:color w:val="2563EB"/>
        </w:rPr>
        <w:t>研究生文献综述——</w:t>
      </w:r>
      <w:r>
        <w:t>帮助研究生快速梳理研究领域内的核心文献，自动生成结构化的文献综述报告，大幅缩短开题前期的文献调研周期</w:t>
      </w:r>
    </w:p>
    <w:p w14:paraId="41579A96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2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rFonts w:hint="eastAsia"/>
          <w:color w:val="1E293B"/>
          <w:sz w:val="21"/>
          <w:szCs w:val="22"/>
          <w:lang w:val="en-US" w:eastAsia="zh-CN"/>
        </w:rPr>
        <w:t xml:space="preserve"> </w:t>
      </w:r>
      <w:r>
        <w:rPr>
          <w:b/>
          <w:color w:val="2563EB"/>
        </w:rPr>
        <w:t>高校教材深度学习——</w:t>
      </w:r>
      <w:r>
        <w:t>对教材章节进行智能解析和总结，生成知识点梳理、概念关系图谱和习题解析，辅助学生高效掌握课程内容</w:t>
      </w:r>
    </w:p>
    <w:p w14:paraId="3BBC055C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3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rFonts w:hint="eastAsia"/>
          <w:color w:val="1E293B"/>
          <w:sz w:val="21"/>
          <w:szCs w:val="22"/>
          <w:lang w:val="en-US" w:eastAsia="zh-CN"/>
        </w:rPr>
        <w:t xml:space="preserve"> </w:t>
      </w:r>
      <w:r>
        <w:rPr>
          <w:b/>
          <w:color w:val="2563EB"/>
        </w:rPr>
        <w:t>学术会议论文追踪——</w:t>
      </w:r>
      <w:r>
        <w:t>自动抓取顶级学术会议（CVPR、NeurIPS、ICLR、ICML、AAAI等）的最新论文，按研究方向进行筛选和总结，帮助研究者及时把握前沿动态</w:t>
      </w:r>
    </w:p>
    <w:p w14:paraId="64C67740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4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rFonts w:hint="eastAsia"/>
          <w:color w:val="1E293B"/>
          <w:sz w:val="21"/>
          <w:szCs w:val="22"/>
          <w:lang w:val="en-US" w:eastAsia="zh-CN"/>
        </w:rPr>
        <w:t xml:space="preserve"> </w:t>
      </w:r>
      <w:r>
        <w:rPr>
          <w:b/>
          <w:color w:val="2563EB"/>
        </w:rPr>
        <w:t>跨领域知识迁移——</w:t>
      </w:r>
      <w:r>
        <w:t>通过多模态融合和知识对齐技术，帮助用户将某一领域的学习方法论迁移到新的研究领域，降低跨学科学习门槛</w:t>
      </w:r>
    </w:p>
    <w:p w14:paraId="6AAE7E90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5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rFonts w:hint="eastAsia"/>
          <w:color w:val="1E293B"/>
          <w:sz w:val="21"/>
          <w:szCs w:val="22"/>
          <w:lang w:val="en-US" w:eastAsia="zh-CN"/>
        </w:rPr>
        <w:t xml:space="preserve"> </w:t>
      </w:r>
      <w:r>
        <w:rPr>
          <w:b/>
          <w:color w:val="2563EB"/>
        </w:rPr>
        <w:t>科研团队协作——</w:t>
      </w:r>
      <w:r>
        <w:t>支持团队成员共享文献库、协作标注和知识沉淀，构建团队专属的知识资产库</w:t>
      </w:r>
    </w:p>
    <w:p w14:paraId="33F4074F">
      <w:pPr>
        <w:pStyle w:val="3"/>
      </w:pPr>
      <w:r>
        <w:t>1.3 核心定位与创新点</w:t>
      </w:r>
    </w:p>
    <w:p w14:paraId="07CB2FFD">
      <w:r>
        <w:rPr>
          <w:rFonts w:hint="eastAsia"/>
          <w:lang w:val="en-US" w:eastAsia="zh-CN"/>
        </w:rPr>
        <w:t>PaperRader</w:t>
      </w:r>
      <w:r>
        <w:t xml:space="preserve"> 的核心定位是"学术学习的第一站"——用户面对任何学术资料时，首先进行智能解析和深度理解，快速构建知识框架，再决定深入学习的方向。</w:t>
      </w:r>
    </w:p>
    <w:p w14:paraId="74BB8D05">
      <w:r>
        <w:t>项目的五大创新点：</w:t>
      </w:r>
    </w:p>
    <w:p w14:paraId="18CA985F">
      <w:pPr>
        <w:ind w:firstLine="0"/>
      </w:pPr>
      <w:r>
        <w:rPr>
          <w:b/>
          <w:color w:val="1E293B"/>
        </w:rPr>
        <w:t>（1）全流程自动化流水线</w:t>
      </w:r>
      <w:r>
        <w:t>实现了从资料获取、结构化解析到智能总结报告生成的五阶段自动化流水线（Fetch-Filter-Download-Parse-Summarize），覆盖学术学习的完整工作流。</w:t>
      </w:r>
    </w:p>
    <w:p w14:paraId="5695088C">
      <w:pPr>
        <w:ind w:firstLine="0"/>
      </w:pPr>
      <w:r>
        <w:rPr>
          <w:b/>
          <w:color w:val="1E293B"/>
        </w:rPr>
        <w:t>（2）先结构化再生成</w:t>
      </w:r>
      <w:r>
        <w:t>不同于直接将PDF丢给大模型总结的方案，</w:t>
      </w:r>
      <w:r>
        <w:rPr>
          <w:rFonts w:hint="eastAsia"/>
          <w:lang w:val="en-US" w:eastAsia="zh-CN"/>
        </w:rPr>
        <w:t>PaperRader</w:t>
      </w:r>
      <w:r>
        <w:t xml:space="preserve"> 先通过 MinerU 将文档解析为 Markdown、图表 JSON 和图片资产，确保正文、章节、图表、Caption 可独立检查，长文档可按章节分块处理，最终报告能插入真实图表。</w:t>
      </w:r>
    </w:p>
    <w:p w14:paraId="6C1BE79B">
      <w:pPr>
        <w:ind w:firstLine="0"/>
      </w:pPr>
      <w:r>
        <w:rPr>
          <w:b/>
          <w:color w:val="1E293B"/>
        </w:rPr>
        <w:t>（3）状态化任务管理</w:t>
      </w:r>
      <w:r>
        <w:t>采用 Excel/CSV 作为阶段间契约，支持同一批资料的多次筛选、补下载、重解析、重生成，实现可迭代的研究雷达维护。</w:t>
      </w:r>
    </w:p>
    <w:p w14:paraId="64EE714C">
      <w:pPr>
        <w:ind w:firstLine="0"/>
      </w:pPr>
      <w:r>
        <w:rPr>
          <w:b/>
          <w:color w:val="1E293B"/>
        </w:rPr>
        <w:t>（4）多源异构数据融合</w:t>
      </w:r>
      <w:r>
        <w:t>支持 OpenReview、CVF/OpenAccess、ECVA、DBLP 等多平台的论文元数据抓取，以及本地 PDF 的直接处理，实现异构学术资源的统一管理。</w:t>
      </w:r>
    </w:p>
    <w:p w14:paraId="2A93BCA5">
      <w:pPr>
        <w:ind w:firstLine="0"/>
      </w:pPr>
      <w:r>
        <w:rPr>
          <w:b/>
          <w:color w:val="1E293B"/>
        </w:rPr>
        <w:t>（5）中文本地化深度优化</w:t>
      </w:r>
      <w:r>
        <w:t>针对中文学术场景进行深度优化，生成结构化中文报告，支持中文关键词筛选和语义匹配，已在情感计算领域完成大规模验证。</w:t>
      </w:r>
    </w:p>
    <w:p w14:paraId="398DAC10">
      <w:pPr>
        <w:pStyle w:val="2"/>
      </w:pPr>
      <w:r>
        <w:t>二、技术架构</w:t>
      </w:r>
      <w:bookmarkStart w:id="2" w:name="_Toc002"/>
      <w:bookmarkEnd w:id="2"/>
    </w:p>
    <w:p w14:paraId="0FD6B22A">
      <w:pPr>
        <w:pStyle w:val="3"/>
      </w:pPr>
      <w:r>
        <w:t>2.1 大模型底座</w:t>
      </w:r>
    </w:p>
    <w:p w14:paraId="029D2DA7">
      <w:r>
        <w:rPr>
          <w:rFonts w:hint="eastAsia"/>
          <w:lang w:val="en-US" w:eastAsia="zh-CN"/>
        </w:rPr>
        <w:t>PaperRader</w:t>
      </w:r>
      <w:r>
        <w:t xml:space="preserve"> 采用模块化的大模型底座设计，支持多种 LLM 服务提供商的灵活接入：</w:t>
      </w:r>
    </w:p>
    <w:p w14:paraId="2CB81485">
      <w:r>
        <w:t>（1）核心推理引擎：基于 ECNU-MAX 等大语言模型，提供高质量的文本理解和生成能力。通过配置化的 LLM 客户端（utils/llm_client.py），实现统一的模型调用接口，支持模型切换和负载均衡。</w:t>
      </w:r>
    </w:p>
    <w:p w14:paraId="1601A89D">
      <w:r>
        <w:t>（2）Prompt 工程体系：构建了系统 Prompt、分块 Prompt 和合并 Prompt 三层提示词架构（config/prompts/），针对不同学术领域和文档类型进行专门优化，确保生成内容的专业性和准确性。</w:t>
      </w:r>
    </w:p>
    <w:p w14:paraId="23360CE4">
      <w:r>
        <w:t>（3）模型适配层：通过抽象化的 Provider 接口，支持 ECNU、OpenAI、Anthropic 等多种模型提供商的无缝切换，用户可根据成本和性能需求灵活选择。</w:t>
      </w:r>
    </w:p>
    <w:p w14:paraId="2801C0C1">
      <w:pPr>
        <w:pStyle w:val="3"/>
      </w:pPr>
      <w:r>
        <w:t>2.2 交互框架</w:t>
      </w:r>
    </w:p>
    <w:p w14:paraId="2EDA04EA">
      <w:r>
        <w:rPr>
          <w:rFonts w:hint="eastAsia"/>
          <w:lang w:val="en-US" w:eastAsia="zh-CN"/>
        </w:rPr>
        <w:t>PaperRader</w:t>
      </w:r>
      <w:r>
        <w:t xml:space="preserve"> 提供多层级的交互框架，满足不同用户群体的使用习惯：</w:t>
      </w:r>
    </w:p>
    <w:p w14:paraId="5556CDBD">
      <w:r>
        <w:t>（1）统一命令行界面（CLI）：基于 Python argparse 构建的五阶段流水线 CLI（src/pipeline/cli.py），支持分阶段运行和一键执行完整流程。核心命令包括：fetch（抓取元数据）、filter（筛选）、download（下载PDF）、parse（MinerU解析）、summarize（LLM总结），以及 run（一键全流程）。</w:t>
      </w:r>
    </w:p>
    <w:p w14:paraId="66C6E6B6">
      <w:r>
        <w:t>（2）Web 可视化平台：基于 EmoPaper 前端（https://akanthawang.github.io/EmoPaper/），提供论文库浏览、时间线视图、关键词检索和详细报告展示。用户可按论文类型（Dataset/Method/Benchmark）、数据模态（Image/Video/Multimodal）进行筛选。</w:t>
      </w:r>
    </w:p>
    <w:p w14:paraId="7CAE07D7">
      <w:r>
        <w:t>（3）报告浏览器：独立的报告查看器（blog/viewer.html），支持侧边栏论文导航、目录快速跳转和分片总结展示，提供沉浸式的学术报告阅读体验。</w:t>
      </w:r>
    </w:p>
    <w:p w14:paraId="4588577C">
      <w:r>
        <w:t>（4）数据接口层：所有中间产物均以 Excel/CSV 格式输出，方便与其他科研工具（如 Zotero、EndNote）集成。</w:t>
      </w:r>
    </w:p>
    <w:p w14:paraId="4026B6E7">
      <w:pPr>
        <w:pStyle w:val="3"/>
      </w:pPr>
      <w:r>
        <w:t>2.3 自主决策算法</w:t>
      </w:r>
    </w:p>
    <w:p w14:paraId="2DAEC0FA">
      <w:r>
        <w:rPr>
          <w:rFonts w:hint="eastAsia"/>
          <w:lang w:val="en-US" w:eastAsia="zh-CN"/>
        </w:rPr>
        <w:t>PaperRader</w:t>
      </w:r>
      <w:r>
        <w:t xml:space="preserve"> 的自主决策能力体现在多个智能化的处理环节：</w:t>
      </w:r>
    </w:p>
    <w:p w14:paraId="531E2DE4">
      <w:r>
        <w:t>（1）智能关键词匹配：支持标题、摘要、关键词多字段联合匹配，提供任一关键词命中、全部关键词命中、正则表达式匹配、大小写敏感匹配等多种模式，自动标注匹配关键词。</w:t>
      </w:r>
    </w:p>
    <w:p w14:paraId="5A45D053">
      <w:r>
        <w:t>（2）自适应下载管理：支持多线程并发下载（可配置 workers 数量），自动处理下载中断恢复、URL 适配和文件名清洗，回写下载状态到状态表。</w:t>
      </w:r>
    </w:p>
    <w:p w14:paraId="3650D760">
      <w:r>
        <w:t>（3）增量式解析策略：MinerU 解析阶段采用缓存机制，仅对新增或变更的 PDF 进行解析，已解析文档自动跳过，大幅提升重复运行效率。</w:t>
      </w:r>
    </w:p>
    <w:p w14:paraId="28F277E5">
      <w:r>
        <w:t>（4）分块-合并总结策略：针对长文档，采用章节分块处理策略，每个分片独立调用 LLM 生成总结，最终通过合并 Prompt 整合为完整报告，有效避免上下文窗口限制。</w:t>
      </w:r>
    </w:p>
    <w:p w14:paraId="59F3DA7E">
      <w:pPr>
        <w:pStyle w:val="3"/>
      </w:pPr>
      <w:r>
        <w:t>2.4 多模态融合能力</w:t>
      </w:r>
    </w:p>
    <w:p w14:paraId="25711A64">
      <w:r>
        <w:rPr>
          <w:rFonts w:hint="eastAsia"/>
          <w:lang w:val="en-US" w:eastAsia="zh-CN"/>
        </w:rPr>
        <w:t>PaperRader</w:t>
      </w:r>
      <w:r>
        <w:t xml:space="preserve"> 具备强大的多模态学术资料处理能力：</w:t>
      </w:r>
    </w:p>
    <w:p w14:paraId="1C3231DB">
      <w:r>
        <w:t>（1）PDF 结构化解析：通过 MinerU 将 PDF 转换为 Markdown 文本、图表 JSON 描述和图片资产，保留原文的章节结构、表格数据和图表信息。</w:t>
      </w:r>
    </w:p>
    <w:p w14:paraId="5CD902C6">
      <w:r>
        <w:t>（2）图表上下文提取：自动识别论文中的图表和对应的 Caption，在生成的总结报告中保留图表引用，支持图表的独立查看和分析。</w:t>
      </w:r>
    </w:p>
    <w:p w14:paraId="383E0503">
      <w:r>
        <w:t>（3）多模态报告生成：最终报告整合文本总结、结构化 JSON 数据和图片资产，形成完整的 Markdown/JSON/图片报告包，支持在 Web 端以图文混排形式展示。</w:t>
      </w:r>
    </w:p>
    <w:p w14:paraId="4E0DAB6C">
      <w:r>
        <w:t>（4）跨模态知识对齐：在情感计算等特定领域，支持视觉-语言模型的知识三元组提取，实现文本与视觉信息的对齐和融合。</w:t>
      </w:r>
    </w:p>
    <w:p w14:paraId="6F7D4CBE">
      <w:pPr>
        <w:pStyle w:val="3"/>
      </w:pPr>
      <w:r>
        <w:t>2.5 数据处理机制</w:t>
      </w:r>
    </w:p>
    <w:p w14:paraId="753B0924">
      <w:r>
        <w:rPr>
          <w:rFonts w:hint="eastAsia"/>
          <w:lang w:val="en-US" w:eastAsia="zh-CN"/>
        </w:rPr>
        <w:t>PaperRader</w:t>
      </w:r>
      <w:r>
        <w:t xml:space="preserve"> 采用分层的数据处理架构，确保数据流转的高效性和可追溯性：</w:t>
      </w:r>
    </w:p>
    <w:p w14:paraId="7C0B4CB3">
      <w:r>
        <w:t>（1）数据目录结构：data/ 目录下按阶段划分 all_papers/（元数据）、filtered_papers/（筛选结果）、pdfs/（原始PDF）、parsed/（MinerU解析产物）、reports/（最终报告），各阶段产物清晰分离。</w:t>
      </w:r>
    </w:p>
    <w:p w14:paraId="6C7FCAAA">
      <w:r>
        <w:t>（2）状态表驱动：filtered_papers.xlsx 作为核心状态表，记录每篇论文的 download_status、pdf_path、parse_status、parsed_dir、report_status、report_path，实现全流程状态可追溯。</w:t>
      </w:r>
    </w:p>
    <w:p w14:paraId="7EF3DEB5">
      <w:r>
        <w:t>（3）多平台抓取适配：针对 OpenReview、CVF/ECVA、DBLP 等不同数据源，开发了专门的抓取脚本（src/paper_fetch/），统一输出为标准化元数据表。</w:t>
      </w:r>
    </w:p>
    <w:p w14:paraId="62DAB946">
      <w:r>
        <w:t>（4）配置化管理：通过 .env 文件管理 MinerU API Token、LLM Provider 密钥等敏感信息，支持不同环境（开发/生产）的快速切换。</w:t>
      </w:r>
    </w:p>
    <w:p w14:paraId="4A53E616">
      <w:pPr>
        <w:pStyle w:val="2"/>
      </w:pPr>
      <w:r>
        <w:t>三、功能与性能</w:t>
      </w:r>
      <w:bookmarkStart w:id="3" w:name="_Toc003"/>
      <w:bookmarkEnd w:id="3"/>
    </w:p>
    <w:p w14:paraId="25255436">
      <w:pPr>
        <w:pStyle w:val="3"/>
      </w:pPr>
      <w:r>
        <w:t>3.1 核心功能模块</w:t>
      </w:r>
    </w:p>
    <w:p w14:paraId="0BFB32C9">
      <w:r>
        <w:rPr>
          <w:rFonts w:hint="eastAsia"/>
          <w:lang w:val="en-US" w:eastAsia="zh-CN"/>
        </w:rPr>
        <w:t>PaperRader</w:t>
      </w:r>
      <w:r>
        <w:t xml:space="preserve"> 包含五大核心功能模块，构成完整的学术智读流水线：</w:t>
      </w:r>
    </w:p>
    <w:p w14:paraId="2D1370BC">
      <w:pPr>
        <w:ind w:firstLine="0"/>
      </w:pPr>
      <w:r>
        <w:rPr>
          <w:b/>
          <w:color w:val="1E293B"/>
        </w:rPr>
        <w:t>模块一：学术元数据抓取（Fetch）</w:t>
      </w:r>
      <w:r>
        <w:t>支持从 OpenReview（ICLR、ICML、NeurIPS）、CVF/OpenAccess（CVPR、ICCV、ECCV）、DBLP（AAAI、ACMMM）等多平台抓取论文元数据。核心字段包括 paper_id、title、type、keywords、abstract、url，输出标准化 Excel/CSV 表格。</w:t>
      </w:r>
    </w:p>
    <w:p w14:paraId="3E570FA4">
      <w:pPr>
        <w:ind w:firstLine="0"/>
      </w:pPr>
      <w:r>
        <w:rPr>
          <w:b/>
          <w:color w:val="1E293B"/>
        </w:rPr>
        <w:t>模块二：智能筛选过滤（Filter）</w:t>
      </w:r>
      <w:r>
        <w:t>支持关键词多字段匹配（标题/摘要/关键词）、正则表达式筛选、投稿类型过滤（oral/spotlight/poster）。输出筛选结果并自动标注 matched_keywords，同时初始化后续阶段的状态列。</w:t>
      </w:r>
    </w:p>
    <w:p w14:paraId="767D84BB">
      <w:pPr>
        <w:ind w:firstLine="0"/>
      </w:pPr>
      <w:r>
        <w:rPr>
          <w:b/>
          <w:color w:val="1E293B"/>
        </w:rPr>
        <w:t>模块三：批量下载管理（Download）</w:t>
      </w:r>
      <w:r>
        <w:t>基于筛选结果批量下载 PDF，支持多线程并发、断点续传、文件名自动清洗（{year}_{conference}_{title}.pdf 格式）。下载完成后自动回写 download_status 和 pdf_path。</w:t>
      </w:r>
    </w:p>
    <w:p w14:paraId="0EAB57E2">
      <w:pPr>
        <w:ind w:firstLine="0"/>
      </w:pPr>
      <w:r>
        <w:rPr>
          <w:b/>
          <w:color w:val="1E293B"/>
        </w:rPr>
        <w:t>模块四：结构化解析（Parse）</w:t>
      </w:r>
      <w:r>
        <w:t>调用 MinerU API 将 PDF 解析为 Markdown 正文、图表 JSON 和图片资产。支持解析缓存，仅处理新增文档。提取章节结构、表格数据和图表上下文。</w:t>
      </w:r>
    </w:p>
    <w:p w14:paraId="4DCDAD49">
      <w:pPr>
        <w:ind w:firstLine="0"/>
      </w:pPr>
      <w:r>
        <w:rPr>
          <w:b/>
          <w:color w:val="1E293B"/>
        </w:rPr>
        <w:t>模块五：智能总结生成（Summarize）</w:t>
      </w:r>
      <w:r>
        <w:t>基于解析后的结构化内容，通过 LLM 生成中文论文总结报告。采用分块-合并策略处理长文档，输出 Markdown 报告、JSON 数据文件和图表资源包。</w:t>
      </w:r>
    </w:p>
    <w:p w14:paraId="1105445C">
      <w:pPr>
        <w:pStyle w:val="3"/>
      </w:pPr>
      <w:r>
        <w:t>3.2 交互体验设计</w:t>
      </w:r>
    </w:p>
    <w:p w14:paraId="015B4E37">
      <w:r>
        <w:rPr>
          <w:rFonts w:hint="eastAsia"/>
          <w:lang w:val="en-US" w:eastAsia="zh-CN"/>
        </w:rPr>
        <w:t>PaperRader</w:t>
      </w:r>
      <w:r>
        <w:t xml:space="preserve"> 的交互设计遵循"高效、清晰、可迭代"的原则：</w:t>
      </w:r>
    </w:p>
    <w:p w14:paraId="47EDCD24">
      <w:r>
        <w:t>（1）命令行交互：统一 CLI 入口，支持 --help 查看各阶段参数，常用选项包括 --parse-missing（自动补解析）、--overwrite（强制覆盖）、--llm-provider（模型切换），降低学习成本。</w:t>
      </w:r>
    </w:p>
    <w:p w14:paraId="725CA284">
      <w:r>
        <w:t>（2）一键全流程：通过 python -m src.pipeline.cli run 命令，顺序执行 fetch→filter→download→parse→summarize 五个阶段，内部自动处理阶段间的数据传递。</w:t>
      </w:r>
    </w:p>
    <w:p w14:paraId="63785E1C">
      <w:r>
        <w:t>（3）单篇快速处理：支持对单篇本地 PDF 直接执行 parse 和 summarize，满足针对性的深度分析需求。</w:t>
      </w:r>
    </w:p>
    <w:p w14:paraId="25D86A42">
      <w:r>
        <w:t>（4）Web 端可视化：EmoPaper 展示平台提供论文卡片、时间线视图、类型/模态筛选和详细报告阅读器，支持关键词检索和分类浏览。</w:t>
      </w:r>
    </w:p>
    <w:p w14:paraId="30D1B9C3">
      <w:pPr>
        <w:pStyle w:val="3"/>
      </w:pPr>
      <w:r>
        <w:t>3.3 性能指标</w:t>
      </w:r>
    </w:p>
    <w:p w14:paraId="211197E7">
      <w:r>
        <w:rPr>
          <w:rFonts w:hint="eastAsia"/>
          <w:lang w:val="en-US" w:eastAsia="zh-CN"/>
        </w:rPr>
        <w:t>PaperRader</w:t>
      </w:r>
      <w:r>
        <w:t xml:space="preserve"> 系统的关键性能指标如下：</w:t>
      </w:r>
    </w:p>
    <w:tbl>
      <w:tblPr>
        <w:tblStyle w:val="9"/>
        <w:tblW w:w="5000" w:type="pct"/>
        <w:tblInd w:w="0" w:type="dxa"/>
        <w:tblBorders>
          <w:top w:val="single" w:color="2563EB" w:sz="12" w:space="0"/>
          <w:left w:val="none" w:color="auto" w:sz="0" w:space="0"/>
          <w:bottom w:val="single" w:color="2563EB" w:sz="12" w:space="0"/>
          <w:right w:val="none" w:color="auto" w:sz="0" w:space="0"/>
          <w:insideH w:val="single" w:color="CBD5E1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2211"/>
        <w:gridCol w:w="4021"/>
      </w:tblGrid>
      <w:tr w14:paraId="30C150E7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F1F5F9"/>
          </w:tcPr>
          <w:p w14:paraId="26D7DD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指标项</w:t>
            </w:r>
          </w:p>
        </w:tc>
        <w:tc>
          <w:tcPr>
            <w:tcW w:w="2200" w:type="dxa"/>
            <w:shd w:val="clear" w:color="auto" w:fill="F1F5F9"/>
          </w:tcPr>
          <w:p w14:paraId="5E6CDA9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目标值</w:t>
            </w:r>
          </w:p>
        </w:tc>
        <w:tc>
          <w:tcPr>
            <w:tcW w:w="4000" w:type="dxa"/>
            <w:shd w:val="clear" w:color="auto" w:fill="F1F5F9"/>
          </w:tcPr>
          <w:p w14:paraId="51082CD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说明</w:t>
            </w:r>
          </w:p>
        </w:tc>
      </w:tr>
      <w:tr w14:paraId="5B0D8755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F56133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单篇报告生成时间</w:t>
            </w:r>
          </w:p>
        </w:tc>
        <w:tc>
          <w:tcPr>
            <w:tcW w:w="2200" w:type="dxa"/>
          </w:tcPr>
          <w:p w14:paraId="49EC5B7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&lt; 30 秒</w:t>
            </w:r>
          </w:p>
        </w:tc>
        <w:tc>
          <w:tcPr>
            <w:tcW w:w="4000" w:type="dxa"/>
          </w:tcPr>
          <w:p w14:paraId="0147DF4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从PDF到完整中文报告</w:t>
            </w:r>
          </w:p>
        </w:tc>
      </w:tr>
      <w:tr w14:paraId="7D2BDC3D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25D27A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批量处理吞吐量</w:t>
            </w:r>
          </w:p>
        </w:tc>
        <w:tc>
          <w:tcPr>
            <w:tcW w:w="2200" w:type="dxa"/>
          </w:tcPr>
          <w:p w14:paraId="3083081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&gt; 100 篇/小时</w:t>
            </w:r>
          </w:p>
        </w:tc>
        <w:tc>
          <w:tcPr>
            <w:tcW w:w="4000" w:type="dxa"/>
          </w:tcPr>
          <w:p w14:paraId="54ECAD5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全流程自动化执行</w:t>
            </w:r>
          </w:p>
        </w:tc>
      </w:tr>
      <w:tr w14:paraId="3025132E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486818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报告结构完整度</w:t>
            </w:r>
          </w:p>
        </w:tc>
        <w:tc>
          <w:tcPr>
            <w:tcW w:w="2200" w:type="dxa"/>
          </w:tcPr>
          <w:p w14:paraId="0D6FBEC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&gt; 95%</w:t>
            </w:r>
          </w:p>
        </w:tc>
        <w:tc>
          <w:tcPr>
            <w:tcW w:w="4000" w:type="dxa"/>
          </w:tcPr>
          <w:p w14:paraId="5738AD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10个维度覆盖度</w:t>
            </w:r>
          </w:p>
        </w:tc>
      </w:tr>
      <w:tr w14:paraId="5AA836D8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896E0D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信息准确率</w:t>
            </w:r>
          </w:p>
        </w:tc>
        <w:tc>
          <w:tcPr>
            <w:tcW w:w="2200" w:type="dxa"/>
          </w:tcPr>
          <w:p w14:paraId="3BEE49C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&gt; 90%</w:t>
            </w:r>
          </w:p>
        </w:tc>
        <w:tc>
          <w:tcPr>
            <w:tcW w:w="4000" w:type="dxa"/>
          </w:tcPr>
          <w:p w14:paraId="1FA35F1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经人工抽检验证</w:t>
            </w:r>
          </w:p>
        </w:tc>
      </w:tr>
      <w:tr w14:paraId="7F66655B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D40BE8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元数据抓取成功率</w:t>
            </w:r>
          </w:p>
        </w:tc>
        <w:tc>
          <w:tcPr>
            <w:tcW w:w="2200" w:type="dxa"/>
          </w:tcPr>
          <w:p w14:paraId="180912E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&gt; 98%</w:t>
            </w:r>
          </w:p>
        </w:tc>
        <w:tc>
          <w:tcPr>
            <w:tcW w:w="4000" w:type="dxa"/>
          </w:tcPr>
          <w:p w14:paraId="7231B20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多平台综合抓取</w:t>
            </w:r>
          </w:p>
        </w:tc>
      </w:tr>
      <w:tr w14:paraId="65C25B6F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B86BE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MinerU解析成功率</w:t>
            </w:r>
          </w:p>
        </w:tc>
        <w:tc>
          <w:tcPr>
            <w:tcW w:w="2200" w:type="dxa"/>
          </w:tcPr>
          <w:p w14:paraId="2FBB038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&gt; 95%</w:t>
            </w:r>
          </w:p>
        </w:tc>
        <w:tc>
          <w:tcPr>
            <w:tcW w:w="4000" w:type="dxa"/>
          </w:tcPr>
          <w:p w14:paraId="55BE5E8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PDF结构化解析</w:t>
            </w:r>
          </w:p>
        </w:tc>
      </w:tr>
      <w:tr w14:paraId="089E485A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1282F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支持会议数量</w:t>
            </w:r>
          </w:p>
        </w:tc>
        <w:tc>
          <w:tcPr>
            <w:tcW w:w="2200" w:type="dxa"/>
          </w:tcPr>
          <w:p w14:paraId="2F071FB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10+</w:t>
            </w:r>
          </w:p>
        </w:tc>
        <w:tc>
          <w:tcPr>
            <w:tcW w:w="4000" w:type="dxa"/>
          </w:tcPr>
          <w:p w14:paraId="664A38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CVPR/ICCV/ECCV/NeurIPS/ICLR/ICML/AAAI等</w:t>
            </w:r>
          </w:p>
        </w:tc>
      </w:tr>
      <w:tr w14:paraId="7D45EBA1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B5A77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单篇PDF最大页数</w:t>
            </w:r>
          </w:p>
        </w:tc>
        <w:tc>
          <w:tcPr>
            <w:tcW w:w="2200" w:type="dxa"/>
          </w:tcPr>
          <w:p w14:paraId="70BEBD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50 页</w:t>
            </w:r>
          </w:p>
        </w:tc>
        <w:tc>
          <w:tcPr>
            <w:tcW w:w="4000" w:type="dxa"/>
          </w:tcPr>
          <w:p w14:paraId="4236020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分块策略支持更长文档</w:t>
            </w:r>
          </w:p>
        </w:tc>
      </w:tr>
    </w:tbl>
    <w:p w14:paraId="520A669C">
      <w:pPr>
        <w:pStyle w:val="5"/>
      </w:pPr>
      <w:r>
        <w:t>表1：LearnFlow 核心性能指标</w:t>
      </w:r>
    </w:p>
    <w:p w14:paraId="1DDA15C6">
      <w:pPr>
        <w:pStyle w:val="2"/>
      </w:pPr>
      <w:r>
        <w:t>四、应用落地</w:t>
      </w:r>
      <w:bookmarkStart w:id="4" w:name="_Toc004"/>
      <w:bookmarkEnd w:id="4"/>
    </w:p>
    <w:p w14:paraId="5ECEE02B">
      <w:pPr>
        <w:pStyle w:val="3"/>
      </w:pPr>
      <w:r>
        <w:t>4.1 已落地场景</w:t>
      </w:r>
    </w:p>
    <w:p w14:paraId="7B4DDCFB">
      <w:r>
        <w:t>PaperRadar 已在情感计算研究领域完成落地验证，取得了显著成效：</w:t>
      </w:r>
    </w:p>
    <w:p w14:paraId="39360B87">
      <w:pPr>
        <w:ind w:firstLine="0"/>
      </w:pPr>
      <w:r>
        <w:rPr>
          <w:b/>
          <w:color w:val="1E293B"/>
        </w:rPr>
        <w:t>场景一：情感计算论文追踪</w:t>
      </w:r>
      <w:r>
        <w:t>系统持续追踪 CVPR、ICLR、AAAI 等顶级会议中情感计算方向的最新论文，建立了覆盖 2025-2026 年的情感论文库（EmoPaper）。目前已收录论文超过 200 篇，涵盖面部表情识别、视觉情感识别、情感对话、情感生成等多个子方向。</w:t>
      </w:r>
    </w:p>
    <w:p w14:paraId="7634B3C0">
      <w:pPr>
        <w:ind w:firstLine="0"/>
      </w:pPr>
      <w:r>
        <w:rPr>
          <w:b/>
          <w:color w:val="1E293B"/>
        </w:rPr>
        <w:t>场景二：结构化中文报告生成</w:t>
      </w:r>
      <w:r>
        <w:t>为每篇收录论文生成包含基本信息、核心问题、动机思想、方法概述、实验设置、主要结果、贡献、局限风险、可借鉴点、分片总结等 10 个维度的结构化中文报告。报告质量经过领域专家审核，准确率和可读性达到科研辅助标准。</w:t>
      </w:r>
    </w:p>
    <w:p w14:paraId="140A0D33">
      <w:pPr>
        <w:ind w:firstLine="0"/>
      </w:pPr>
      <w:r>
        <w:rPr>
          <w:b/>
          <w:color w:val="1E293B"/>
        </w:rPr>
        <w:t>场景三：Awesome List 维护</w:t>
      </w:r>
      <w:r>
        <w:t>通过系统自动化更新 "Awesome of Emotion Research" 清单，按年份、会议和主题沉淀情感研究论文，帮助研究者快速把握方向演进。</w:t>
      </w:r>
    </w:p>
    <w:p w14:paraId="46F4FEBA">
      <w:r>
        <w:t>用户反馈与成效数据：</w:t>
      </w:r>
    </w:p>
    <w:p w14:paraId="2485E9B8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1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效率提升——</w:t>
      </w:r>
      <w:r>
        <w:t>文献调研周期从传统的 2-3 周缩短至 2-3 天，效率提升约 80%</w:t>
      </w:r>
    </w:p>
    <w:p w14:paraId="0C78415F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2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覆盖率——</w:t>
      </w:r>
      <w:r>
        <w:t>单次会议的情感计算相关论文覆盖率达到 95% 以上</w:t>
      </w:r>
    </w:p>
    <w:p w14:paraId="2EC32259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3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用户认可——</w:t>
      </w:r>
      <w:r>
        <w:t>EmoPaper 展示网站已获得国内外情感计算研究者的关注和积极反馈</w:t>
      </w:r>
    </w:p>
    <w:p w14:paraId="5D546498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4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报告质量——</w:t>
      </w:r>
      <w:r>
        <w:t>生成报告的结构完整度和信息准确度经人工抽检达到 90% 以上</w:t>
      </w:r>
    </w:p>
    <w:p w14:paraId="3885469F">
      <w:pPr>
        <w:pStyle w:val="3"/>
      </w:pPr>
      <w:r>
        <w:t>4.2 未落地项目规划</w:t>
      </w:r>
    </w:p>
    <w:p w14:paraId="2500720E">
      <w:r>
        <w:t>基于已验证的技术路线，</w:t>
      </w:r>
      <w:r>
        <w:rPr>
          <w:rFonts w:hint="eastAsia"/>
          <w:lang w:val="en-US" w:eastAsia="zh-CN"/>
        </w:rPr>
        <w:t>PaperRader</w:t>
      </w:r>
      <w:r>
        <w:t xml:space="preserve"> 将在以下方向进行扩展落地：</w:t>
      </w:r>
    </w:p>
    <w:p w14:paraId="67F19CB5">
      <w:pPr>
        <w:ind w:firstLine="0"/>
      </w:pPr>
      <w:r>
        <w:rPr>
          <w:b/>
          <w:color w:val="1E293B"/>
        </w:rPr>
        <w:t>规划一：通用教材智读平台（2026 Q3）</w:t>
      </w:r>
      <w:r>
        <w:t>将应用场景从学术论文扩展至高校教材、课程讲义、学术专著。开发教材章节解析、知识点提取、概念关系图谱生成、习题智能解析等功能，面向高校学生群体。预期首批覆盖计算机科学、人工智能、心理学等 5 个学科的 50 本核心教材。</w:t>
      </w:r>
    </w:p>
    <w:p w14:paraId="63421BB4">
      <w:pPr>
        <w:ind w:firstLine="0"/>
      </w:pPr>
      <w:r>
        <w:rPr>
          <w:b/>
          <w:color w:val="1E293B"/>
        </w:rPr>
        <w:t>规划二：跨学科文献综述助手（2026 Q4）</w:t>
      </w:r>
      <w:r>
        <w:t>支持用户指定多个研究方向，系统自动抓取、筛选、总结相关文献，生成结构化的跨学科文献综述初稿。面向博士研究生和青年科研人员的开题综述需求。</w:t>
      </w:r>
    </w:p>
    <w:p w14:paraId="623753EB">
      <w:pPr>
        <w:ind w:firstLine="0"/>
      </w:pPr>
      <w:r>
        <w:rPr>
          <w:b/>
          <w:color w:val="1E293B"/>
        </w:rPr>
        <w:t>规划三：团队知识资产管理（2027 Q1）</w:t>
      </w:r>
      <w:r>
        <w:t>支持科研团队创建共享文献库，成员可协作标注、评论和归类文献。系统自动提取团队关注的研究热点和趋势变化，生成团队研究洞察报告。</w:t>
      </w:r>
    </w:p>
    <w:p w14:paraId="77C1C5E6">
      <w:pPr>
        <w:ind w:firstLine="0"/>
      </w:pPr>
      <w:r>
        <w:rPr>
          <w:b/>
          <w:color w:val="1E293B"/>
        </w:rPr>
        <w:t>规划四：移动端轻量版（2027 Q2）</w:t>
      </w:r>
      <w:r>
        <w:t>开发微信小程序/移动端 Web 版本，支持拍照上传教材页面、语音查询知识点等功能，满足移动学习场景的需求。</w:t>
      </w:r>
    </w:p>
    <w:p w14:paraId="66292378">
      <w:r>
        <w:t>市场预期：根据国内高校在校生规模（超过 4700 万人）和科研人员规模（超过 600 万人），学术智读工具的目标用户群体超过 5000 万人。预计</w:t>
      </w:r>
      <w:r>
        <w:rPr>
          <w:rFonts w:hint="eastAsia"/>
          <w:lang w:eastAsia="zh-CN"/>
        </w:rPr>
        <w:t>PaperRader</w:t>
      </w:r>
      <w:r>
        <w:t xml:space="preserve"> 在上线一年内可获取 10 万+ 注册用户，三年内达到 100 万+ 用户规模。</w:t>
      </w:r>
    </w:p>
    <w:p w14:paraId="2C358D6A">
      <w:pPr>
        <w:pStyle w:val="2"/>
      </w:pPr>
      <w:r>
        <w:t>五、竞品分析</w:t>
      </w:r>
      <w:bookmarkStart w:id="5" w:name="_Toc005"/>
      <w:bookmarkEnd w:id="5"/>
    </w:p>
    <w:p w14:paraId="108F723D">
      <w:pPr>
        <w:pStyle w:val="3"/>
      </w:pPr>
      <w:r>
        <w:t>5.1 国外竞品</w:t>
      </w:r>
    </w:p>
    <w:p w14:paraId="5D4E3C0B">
      <w:r>
        <w:t>国外学术 AI 助手市场已形成一定竞争格局，主要产品包括：</w:t>
      </w:r>
    </w:p>
    <w:tbl>
      <w:tblPr>
        <w:tblStyle w:val="9"/>
        <w:tblW w:w="5000" w:type="pct"/>
        <w:tblInd w:w="0" w:type="dxa"/>
        <w:tblBorders>
          <w:top w:val="single" w:color="2563EB" w:sz="12" w:space="0"/>
          <w:left w:val="none" w:color="auto" w:sz="0" w:space="0"/>
          <w:bottom w:val="single" w:color="2563EB" w:sz="12" w:space="0"/>
          <w:right w:val="none" w:color="auto" w:sz="0" w:space="0"/>
          <w:insideH w:val="single" w:color="CBD5E1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7"/>
        <w:gridCol w:w="1809"/>
        <w:gridCol w:w="2010"/>
        <w:gridCol w:w="1809"/>
        <w:gridCol w:w="2011"/>
      </w:tblGrid>
      <w:tr w14:paraId="540AFC81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F1F5F9"/>
          </w:tcPr>
          <w:p w14:paraId="5AD816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产品名称</w:t>
            </w:r>
          </w:p>
        </w:tc>
        <w:tc>
          <w:tcPr>
            <w:tcW w:w="1800" w:type="dxa"/>
            <w:shd w:val="clear" w:color="auto" w:fill="F1F5F9"/>
          </w:tcPr>
          <w:p w14:paraId="134D4FB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数据库规模</w:t>
            </w:r>
          </w:p>
        </w:tc>
        <w:tc>
          <w:tcPr>
            <w:tcW w:w="2000" w:type="dxa"/>
            <w:shd w:val="clear" w:color="auto" w:fill="F1F5F9"/>
          </w:tcPr>
          <w:p w14:paraId="5247D47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核心功能</w:t>
            </w:r>
          </w:p>
        </w:tc>
        <w:tc>
          <w:tcPr>
            <w:tcW w:w="1800" w:type="dxa"/>
            <w:shd w:val="clear" w:color="auto" w:fill="F1F5F9"/>
          </w:tcPr>
          <w:p w14:paraId="2CD6ACD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技术特点</w:t>
            </w:r>
          </w:p>
        </w:tc>
        <w:tc>
          <w:tcPr>
            <w:tcW w:w="2000" w:type="dxa"/>
            <w:shd w:val="clear" w:color="auto" w:fill="F1F5F9"/>
          </w:tcPr>
          <w:p w14:paraId="0388D51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相对不足</w:t>
            </w:r>
          </w:p>
        </w:tc>
      </w:tr>
      <w:tr w14:paraId="7F337629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70055E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Elicit</w:t>
            </w:r>
          </w:p>
        </w:tc>
        <w:tc>
          <w:tcPr>
            <w:tcW w:w="1800" w:type="dxa"/>
          </w:tcPr>
          <w:p w14:paraId="6BAE4F8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1.38亿+</w:t>
            </w:r>
          </w:p>
        </w:tc>
        <w:tc>
          <w:tcPr>
            <w:tcW w:w="2000" w:type="dxa"/>
          </w:tcPr>
          <w:p w14:paraId="52543C4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文献发现、数据提取</w:t>
            </w:r>
          </w:p>
        </w:tc>
        <w:tc>
          <w:tcPr>
            <w:tcW w:w="1800" w:type="dxa"/>
          </w:tcPr>
          <w:p w14:paraId="64A9A32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语义搜索、结构化提取</w:t>
            </w:r>
          </w:p>
        </w:tc>
        <w:tc>
          <w:tcPr>
            <w:tcW w:w="2000" w:type="dxa"/>
          </w:tcPr>
          <w:p w14:paraId="6E80EDF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无全流程流水线</w:t>
            </w:r>
          </w:p>
        </w:tc>
      </w:tr>
      <w:tr w14:paraId="748B716C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F6B13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Consensus</w:t>
            </w:r>
          </w:p>
        </w:tc>
        <w:tc>
          <w:tcPr>
            <w:tcW w:w="1800" w:type="dxa"/>
          </w:tcPr>
          <w:p w14:paraId="5859732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2亿+</w:t>
            </w:r>
          </w:p>
        </w:tc>
        <w:tc>
          <w:tcPr>
            <w:tcW w:w="2000" w:type="dxa"/>
          </w:tcPr>
          <w:p w14:paraId="5E9EF9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问答式检索、证据总结</w:t>
            </w:r>
          </w:p>
        </w:tc>
        <w:tc>
          <w:tcPr>
            <w:tcW w:w="1800" w:type="dxa"/>
          </w:tcPr>
          <w:p w14:paraId="31AD2E4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Consensus Meter</w:t>
            </w:r>
          </w:p>
        </w:tc>
        <w:tc>
          <w:tcPr>
            <w:tcW w:w="2000" w:type="dxa"/>
          </w:tcPr>
          <w:p w14:paraId="0466A2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深度分析能力有限</w:t>
            </w:r>
          </w:p>
        </w:tc>
      </w:tr>
      <w:tr w14:paraId="048C0D31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72DE2D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SciSpace</w:t>
            </w:r>
          </w:p>
        </w:tc>
        <w:tc>
          <w:tcPr>
            <w:tcW w:w="1800" w:type="dxa"/>
          </w:tcPr>
          <w:p w14:paraId="0EAFD5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2亿+</w:t>
            </w:r>
          </w:p>
        </w:tc>
        <w:tc>
          <w:tcPr>
            <w:tcW w:w="2000" w:type="dxa"/>
          </w:tcPr>
          <w:p w14:paraId="1DD9FC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Chat with PDF、综述</w:t>
            </w:r>
          </w:p>
        </w:tc>
        <w:tc>
          <w:tcPr>
            <w:tcW w:w="1800" w:type="dxa"/>
          </w:tcPr>
          <w:p w14:paraId="34A736B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交互式阅读</w:t>
            </w:r>
          </w:p>
        </w:tc>
        <w:tc>
          <w:tcPr>
            <w:tcW w:w="2000" w:type="dxa"/>
          </w:tcPr>
          <w:p w14:paraId="7FE232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中文支持较弱</w:t>
            </w:r>
          </w:p>
        </w:tc>
      </w:tr>
      <w:tr w14:paraId="6EDD006A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4073BD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Semantic Scholar</w:t>
            </w:r>
          </w:p>
        </w:tc>
        <w:tc>
          <w:tcPr>
            <w:tcW w:w="1800" w:type="dxa"/>
          </w:tcPr>
          <w:p w14:paraId="4E4C69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2亿+</w:t>
            </w:r>
          </w:p>
        </w:tc>
        <w:tc>
          <w:tcPr>
            <w:tcW w:w="2000" w:type="dxa"/>
          </w:tcPr>
          <w:p w14:paraId="76E0201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学术搜索、引用分析</w:t>
            </w:r>
          </w:p>
        </w:tc>
        <w:tc>
          <w:tcPr>
            <w:tcW w:w="1800" w:type="dxa"/>
          </w:tcPr>
          <w:p w14:paraId="3AAB6D2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AI生成TLDR</w:t>
            </w:r>
          </w:p>
        </w:tc>
        <w:tc>
          <w:tcPr>
            <w:tcW w:w="2000" w:type="dxa"/>
          </w:tcPr>
          <w:p w14:paraId="5ED2DFF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无对话能力</w:t>
            </w:r>
          </w:p>
        </w:tc>
      </w:tr>
      <w:tr w14:paraId="74ED570F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BD0AD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Research Rabbit</w:t>
            </w:r>
          </w:p>
        </w:tc>
        <w:tc>
          <w:tcPr>
            <w:tcW w:w="1800" w:type="dxa"/>
          </w:tcPr>
          <w:p w14:paraId="70C9B22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千万级</w:t>
            </w:r>
          </w:p>
        </w:tc>
        <w:tc>
          <w:tcPr>
            <w:tcW w:w="2000" w:type="dxa"/>
          </w:tcPr>
          <w:p w14:paraId="697DBF1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文献推荐、可视化</w:t>
            </w:r>
          </w:p>
        </w:tc>
        <w:tc>
          <w:tcPr>
            <w:tcW w:w="1800" w:type="dxa"/>
          </w:tcPr>
          <w:p w14:paraId="5E0C24E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网络图谱</w:t>
            </w:r>
          </w:p>
        </w:tc>
        <w:tc>
          <w:tcPr>
            <w:tcW w:w="2000" w:type="dxa"/>
          </w:tcPr>
          <w:p w14:paraId="29E72D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无总结生成</w:t>
            </w:r>
          </w:p>
        </w:tc>
      </w:tr>
    </w:tbl>
    <w:p w14:paraId="2A00A0C0">
      <w:pPr>
        <w:pStyle w:val="5"/>
      </w:pPr>
      <w:r>
        <w:t>表2：国外主要竞品对比</w:t>
      </w:r>
    </w:p>
    <w:p w14:paraId="3C36A2FB">
      <w:pPr>
        <w:pStyle w:val="3"/>
      </w:pPr>
      <w:r>
        <w:t>5.2 国内竞品</w:t>
      </w:r>
    </w:p>
    <w:p w14:paraId="411A3083">
      <w:r>
        <w:t>国内学术 AI 工具市场尚处于发展初期，主要竞品包括：</w:t>
      </w:r>
    </w:p>
    <w:tbl>
      <w:tblPr>
        <w:tblStyle w:val="9"/>
        <w:tblW w:w="5000" w:type="pct"/>
        <w:tblInd w:w="0" w:type="dxa"/>
        <w:tblBorders>
          <w:top w:val="single" w:color="2563EB" w:sz="12" w:space="0"/>
          <w:left w:val="none" w:color="auto" w:sz="0" w:space="0"/>
          <w:bottom w:val="single" w:color="2563EB" w:sz="12" w:space="0"/>
          <w:right w:val="none" w:color="auto" w:sz="0" w:space="0"/>
          <w:insideH w:val="single" w:color="CBD5E1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7"/>
        <w:gridCol w:w="1809"/>
        <w:gridCol w:w="2010"/>
        <w:gridCol w:w="1809"/>
        <w:gridCol w:w="2011"/>
      </w:tblGrid>
      <w:tr w14:paraId="68789476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F1F5F9"/>
          </w:tcPr>
          <w:p w14:paraId="61B1EC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产品名称</w:t>
            </w:r>
          </w:p>
        </w:tc>
        <w:tc>
          <w:tcPr>
            <w:tcW w:w="1800" w:type="dxa"/>
            <w:shd w:val="clear" w:color="auto" w:fill="F1F5F9"/>
          </w:tcPr>
          <w:p w14:paraId="17F634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数据基础</w:t>
            </w:r>
          </w:p>
        </w:tc>
        <w:tc>
          <w:tcPr>
            <w:tcW w:w="2000" w:type="dxa"/>
            <w:shd w:val="clear" w:color="auto" w:fill="F1F5F9"/>
          </w:tcPr>
          <w:p w14:paraId="276EC37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核心功能</w:t>
            </w:r>
          </w:p>
        </w:tc>
        <w:tc>
          <w:tcPr>
            <w:tcW w:w="1800" w:type="dxa"/>
            <w:shd w:val="clear" w:color="auto" w:fill="F1F5F9"/>
          </w:tcPr>
          <w:p w14:paraId="683A237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技术特点</w:t>
            </w:r>
          </w:p>
        </w:tc>
        <w:tc>
          <w:tcPr>
            <w:tcW w:w="2000" w:type="dxa"/>
            <w:shd w:val="clear" w:color="auto" w:fill="F1F5F9"/>
          </w:tcPr>
          <w:p w14:paraId="3B7108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E293B"/>
                <w:sz w:val="18"/>
              </w:rPr>
              <w:t>相对不足</w:t>
            </w:r>
          </w:p>
        </w:tc>
      </w:tr>
      <w:tr w14:paraId="7BBF1645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C88CC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元知AI综述</w:t>
            </w:r>
          </w:p>
        </w:tc>
        <w:tc>
          <w:tcPr>
            <w:tcW w:w="1800" w:type="dxa"/>
          </w:tcPr>
          <w:p w14:paraId="77CD6C0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真实数据库</w:t>
            </w:r>
          </w:p>
        </w:tc>
        <w:tc>
          <w:tcPr>
            <w:tcW w:w="2000" w:type="dxa"/>
          </w:tcPr>
          <w:p w14:paraId="42F400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AI综述生成</w:t>
            </w:r>
          </w:p>
        </w:tc>
        <w:tc>
          <w:tcPr>
            <w:tcW w:w="1800" w:type="dxa"/>
          </w:tcPr>
          <w:p w14:paraId="49AA004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多版本模块化</w:t>
            </w:r>
          </w:p>
        </w:tc>
        <w:tc>
          <w:tcPr>
            <w:tcW w:w="2000" w:type="dxa"/>
          </w:tcPr>
          <w:p w14:paraId="21C873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仅英文检索</w:t>
            </w:r>
          </w:p>
        </w:tc>
      </w:tr>
      <w:tr w14:paraId="479595BC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4ACA09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PubScholar</w:t>
            </w:r>
          </w:p>
        </w:tc>
        <w:tc>
          <w:tcPr>
            <w:tcW w:w="1800" w:type="dxa"/>
          </w:tcPr>
          <w:p w14:paraId="13B6514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1.8亿条元数据</w:t>
            </w:r>
          </w:p>
        </w:tc>
        <w:tc>
          <w:tcPr>
            <w:tcW w:w="2000" w:type="dxa"/>
          </w:tcPr>
          <w:p w14:paraId="6EAD19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文献检索、综述</w:t>
            </w:r>
          </w:p>
        </w:tc>
        <w:tc>
          <w:tcPr>
            <w:tcW w:w="1800" w:type="dxa"/>
          </w:tcPr>
          <w:p w14:paraId="3DA13EB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公益免费</w:t>
            </w:r>
          </w:p>
        </w:tc>
        <w:tc>
          <w:tcPr>
            <w:tcW w:w="2000" w:type="dxa"/>
          </w:tcPr>
          <w:p w14:paraId="4ADF3E2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AI能力有限</w:t>
            </w:r>
          </w:p>
        </w:tc>
      </w:tr>
      <w:tr w14:paraId="4217FA26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AE2F9D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知网研学</w:t>
            </w:r>
          </w:p>
        </w:tc>
        <w:tc>
          <w:tcPr>
            <w:tcW w:w="1800" w:type="dxa"/>
          </w:tcPr>
          <w:p w14:paraId="3008D81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中国知网</w:t>
            </w:r>
          </w:p>
        </w:tc>
        <w:tc>
          <w:tcPr>
            <w:tcW w:w="2000" w:type="dxa"/>
          </w:tcPr>
          <w:p w14:paraId="5B75734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文献分析、写作</w:t>
            </w:r>
          </w:p>
        </w:tc>
        <w:tc>
          <w:tcPr>
            <w:tcW w:w="1800" w:type="dxa"/>
          </w:tcPr>
          <w:p w14:paraId="636D362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中文内容丰富</w:t>
            </w:r>
          </w:p>
        </w:tc>
        <w:tc>
          <w:tcPr>
            <w:tcW w:w="2000" w:type="dxa"/>
          </w:tcPr>
          <w:p w14:paraId="728294B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仅中文、AI深度不足</w:t>
            </w:r>
          </w:p>
        </w:tc>
      </w:tr>
      <w:tr w14:paraId="2ECF6C7D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76956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秘塔AI学术</w:t>
            </w:r>
          </w:p>
        </w:tc>
        <w:tc>
          <w:tcPr>
            <w:tcW w:w="1800" w:type="dxa"/>
          </w:tcPr>
          <w:p w14:paraId="0668F3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全网学术信息</w:t>
            </w:r>
          </w:p>
        </w:tc>
        <w:tc>
          <w:tcPr>
            <w:tcW w:w="2000" w:type="dxa"/>
          </w:tcPr>
          <w:p w14:paraId="1D70EF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文献搜索、综述</w:t>
            </w:r>
          </w:p>
        </w:tc>
        <w:tc>
          <w:tcPr>
            <w:tcW w:w="1800" w:type="dxa"/>
          </w:tcPr>
          <w:p w14:paraId="39563BD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结构化展示</w:t>
            </w:r>
          </w:p>
        </w:tc>
        <w:tc>
          <w:tcPr>
            <w:tcW w:w="2000" w:type="dxa"/>
          </w:tcPr>
          <w:p w14:paraId="7050E0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全流程覆盖不足</w:t>
            </w:r>
          </w:p>
        </w:tc>
      </w:tr>
      <w:tr w14:paraId="5511C84B">
        <w:tblPrEx>
          <w:tblBorders>
            <w:top w:val="single" w:color="2563EB" w:sz="12" w:space="0"/>
            <w:left w:val="none" w:color="auto" w:sz="0" w:space="0"/>
            <w:bottom w:val="single" w:color="2563EB" w:sz="12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4AD6F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Aminer</w:t>
            </w:r>
          </w:p>
        </w:tc>
        <w:tc>
          <w:tcPr>
            <w:tcW w:w="1800" w:type="dxa"/>
          </w:tcPr>
          <w:p w14:paraId="127EDB3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海量学术数据</w:t>
            </w:r>
          </w:p>
        </w:tc>
        <w:tc>
          <w:tcPr>
            <w:tcW w:w="2000" w:type="dxa"/>
          </w:tcPr>
          <w:p w14:paraId="225F96E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搜索、画像、推荐</w:t>
            </w:r>
          </w:p>
        </w:tc>
        <w:tc>
          <w:tcPr>
            <w:tcW w:w="1800" w:type="dxa"/>
          </w:tcPr>
          <w:p w14:paraId="0EEC485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清华研发</w:t>
            </w:r>
          </w:p>
        </w:tc>
        <w:tc>
          <w:tcPr>
            <w:tcW w:w="2000" w:type="dxa"/>
          </w:tcPr>
          <w:p w14:paraId="5431A1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75569"/>
                <w:sz w:val="18"/>
              </w:rPr>
              <w:t>总结生成能力弱</w:t>
            </w:r>
          </w:p>
        </w:tc>
      </w:tr>
    </w:tbl>
    <w:p w14:paraId="785AA095">
      <w:pPr>
        <w:pStyle w:val="5"/>
      </w:pPr>
      <w:r>
        <w:t>表3：国内主要竞品对比</w:t>
      </w:r>
    </w:p>
    <w:p w14:paraId="25A5B414">
      <w:pPr>
        <w:pStyle w:val="3"/>
      </w:pPr>
      <w:r>
        <w:t>5.3 竞争优势总结</w:t>
      </w:r>
    </w:p>
    <w:p w14:paraId="7B481B05">
      <w:r>
        <w:t>与国内外竞品相比，</w:t>
      </w:r>
      <w:r>
        <w:rPr>
          <w:rFonts w:hint="eastAsia"/>
          <w:lang w:val="en-US" w:eastAsia="zh-CN"/>
        </w:rPr>
        <w:t>PaperRader</w:t>
      </w:r>
      <w:r>
        <w:t>的核心竞争优势体现在以下六个维度：</w:t>
      </w:r>
    </w:p>
    <w:p w14:paraId="43C15C06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1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全流程覆盖——</w:t>
      </w:r>
      <w:r>
        <w:t>区别于仅提供搜索（Consensus）或仅提供阅读辅助（SciSpace）的工具，LearnFlow 覆盖从发现到总结的完整流水线</w:t>
      </w:r>
    </w:p>
    <w:p w14:paraId="30B14ECC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2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先结构化再生成——</w:t>
      </w:r>
      <w:r>
        <w:t>独特的 MinerU 预解析 + LLM 后生成架构，报告质量显著优于直接 PDF-to-Text 方案</w:t>
      </w:r>
    </w:p>
    <w:p w14:paraId="0BDF1254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3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中文深度优化——</w:t>
      </w:r>
      <w:r>
        <w:t>针对中文学术场景的深度适配，在中文报告生成质量上优于国外产品</w:t>
      </w:r>
    </w:p>
    <w:p w14:paraId="6B958F6F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4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开源可扩展——</w:t>
      </w:r>
      <w:r>
        <w:t>核心系统开源（GitHub），支持用户自定义抓取源、Prompt 模板和报告格式</w:t>
      </w:r>
    </w:p>
    <w:p w14:paraId="3C549CB9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5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多平台聚合——</w:t>
      </w:r>
      <w:r>
        <w:t>同时覆盖 OpenReview、CVF、DBLP 等多个数据源，避免单一平台的覆盖盲区</w:t>
      </w:r>
    </w:p>
    <w:p w14:paraId="09A69C00">
      <w:pPr>
        <w:numPr>
          <w:ilvl w:val="0"/>
          <w:numId w:val="0"/>
        </w:numPr>
        <w:ind w:left="720" w:leftChars="0" w:firstLine="0" w:firstLineChars="0"/>
      </w:pPr>
      <w:r>
        <w:rPr>
          <w:rFonts w:hint="eastAsia"/>
          <w:color w:val="1E293B"/>
          <w:sz w:val="21"/>
          <w:szCs w:val="22"/>
          <w:lang w:val="en-US" w:eastAsia="zh-CN"/>
        </w:rPr>
        <w:t>6</w:t>
      </w:r>
      <w:r>
        <w:rPr>
          <w:rFonts w:ascii="Calibri" w:hAnsi="Calibri" w:eastAsia="微软雅黑"/>
          <w:color w:val="1E293B"/>
          <w:sz w:val="21"/>
          <w:szCs w:val="22"/>
        </w:rPr>
        <w:t>.</w:t>
      </w:r>
      <w:r>
        <w:rPr>
          <w:b/>
          <w:color w:val="2563EB"/>
        </w:rPr>
        <w:t>教材场景拓展——</w:t>
      </w:r>
      <w:r>
        <w:t>从论文向教材场景的差异化拓展，填补国内市场在教材智能学习工具领域的空白</w:t>
      </w:r>
    </w:p>
    <w:p w14:paraId="4FAF537F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7BC2BEB4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0096C">
      <w:pPr>
        <w:spacing w:before="700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b/>
          <w:color w:val="2563EB"/>
          <w:sz w:val="48"/>
          <w:lang w:val="en-US" w:eastAsia="zh-CN"/>
        </w:rPr>
        <w:t>PaperRader</w:t>
      </w:r>
    </w:p>
    <w:p w14:paraId="61A5748E">
      <w:pPr>
        <w:spacing w:before="400"/>
        <w:jc w:val="center"/>
      </w:pPr>
      <w:r>
        <w:rPr>
          <w:rFonts w:ascii="Calibri" w:hAnsi="Calibri" w:eastAsia="微软雅黑"/>
          <w:color w:val="475569"/>
          <w:sz w:val="22"/>
        </w:rPr>
        <w:t>让学术学习更高效、更智能</w:t>
      </w:r>
    </w:p>
    <w:p w14:paraId="330A6A08">
      <w:pPr>
        <w:spacing w:before="600"/>
        <w:jc w:val="center"/>
      </w:pPr>
      <w:r>
        <w:rPr>
          <w:rFonts w:ascii="Calibri" w:hAnsi="Calibri" w:eastAsia="微软雅黑"/>
          <w:color w:val="94A3B8"/>
          <w:sz w:val="18"/>
        </w:rPr>
        <w:t>https://github.com/AkanthaWang/PaperRadar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A252F">
    <w:pPr>
      <w:jc w:val="center"/>
    </w:pPr>
    <w:r>
      <w:rPr>
        <w:rFonts w:ascii="Calibri" w:hAnsi="Calibri" w:eastAsia="微软雅黑"/>
        <w:color w:val="94A3B8"/>
        <w:sz w:val="18"/>
      </w:rPr>
      <w:t xml:space="preserve">第 </w:t>
    </w:r>
    <w:r>
      <w:rPr>
        <w:rFonts w:ascii="Calibri" w:hAnsi="Calibri" w:eastAsia="微软雅黑"/>
        <w:color w:val="94A3B8"/>
        <w:sz w:val="18"/>
      </w:rPr>
      <w:fldChar w:fldCharType="begin"/>
    </w:r>
    <w:r>
      <w:rPr>
        <w:rFonts w:ascii="Calibri" w:hAnsi="Calibri" w:eastAsia="微软雅黑"/>
        <w:color w:val="94A3B8"/>
        <w:sz w:val="18"/>
      </w:rPr>
      <w:instrText xml:space="preserve"> PAGE </w:instrText>
    </w:r>
    <w:r>
      <w:rPr>
        <w:rFonts w:ascii="Calibri" w:hAnsi="Calibri" w:eastAsia="微软雅黑"/>
        <w:color w:val="94A3B8"/>
        <w:sz w:val="18"/>
      </w:rPr>
      <w:fldChar w:fldCharType="separate"/>
    </w:r>
    <w:r>
      <w:rPr>
        <w:rFonts w:ascii="Calibri" w:hAnsi="Calibri" w:eastAsia="微软雅黑"/>
        <w:color w:val="94A3B8"/>
        <w:sz w:val="18"/>
      </w:rPr>
      <w:t>1</w:t>
    </w:r>
    <w:r>
      <w:rPr>
        <w:rFonts w:ascii="Calibri" w:hAnsi="Calibri" w:eastAsia="微软雅黑"/>
        <w:color w:val="94A3B8"/>
        <w:sz w:val="18"/>
      </w:rPr>
      <w:fldChar w:fldCharType="end"/>
    </w:r>
    <w:r>
      <w:rPr>
        <w:rFonts w:ascii="Calibri" w:hAnsi="Calibri" w:eastAsia="微软雅黑"/>
        <w:color w:val="94A3B8"/>
        <w:sz w:val="18"/>
      </w:rPr>
      <w:t xml:space="preserve"> 页 / 共 </w:t>
    </w:r>
    <w:r>
      <w:rPr>
        <w:rFonts w:ascii="Calibri" w:hAnsi="Calibri" w:eastAsia="微软雅黑"/>
        <w:color w:val="94A3B8"/>
        <w:sz w:val="18"/>
      </w:rPr>
      <w:fldChar w:fldCharType="begin"/>
    </w:r>
    <w:r>
      <w:rPr>
        <w:rFonts w:ascii="Calibri" w:hAnsi="Calibri" w:eastAsia="微软雅黑"/>
        <w:color w:val="94A3B8"/>
        <w:sz w:val="18"/>
      </w:rPr>
      <w:instrText xml:space="preserve"> NUMPAGES </w:instrText>
    </w:r>
    <w:r>
      <w:rPr>
        <w:rFonts w:ascii="Calibri" w:hAnsi="Calibri" w:eastAsia="微软雅黑"/>
        <w:color w:val="94A3B8"/>
        <w:sz w:val="18"/>
      </w:rPr>
      <w:fldChar w:fldCharType="separate"/>
    </w:r>
    <w:r>
      <w:rPr>
        <w:rFonts w:ascii="Calibri" w:hAnsi="Calibri" w:eastAsia="微软雅黑"/>
        <w:color w:val="94A3B8"/>
        <w:sz w:val="18"/>
      </w:rPr>
      <w:t>1</w:t>
    </w:r>
    <w:r>
      <w:rPr>
        <w:rFonts w:ascii="Calibri" w:hAnsi="Calibri" w:eastAsia="微软雅黑"/>
        <w:color w:val="94A3B8"/>
        <w:sz w:val="18"/>
      </w:rPr>
      <w:fldChar w:fldCharType="end"/>
    </w:r>
    <w:r>
      <w:rPr>
        <w:rFonts w:ascii="Calibri" w:hAnsi="Calibri" w:eastAsia="微软雅黑"/>
        <w:color w:val="94A3B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7FA3B">
    <w:pPr>
      <w:jc w:val="right"/>
    </w:pPr>
    <w:r>
      <w:rPr>
        <w:rFonts w:ascii="Calibri" w:hAnsi="Calibri" w:eastAsia="微软雅黑"/>
        <w:color w:val="94A3B8"/>
        <w:sz w:val="18"/>
      </w:rPr>
      <w:t>LearnFlow 学术智读助手 - 智能体专项项目计划书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61379"/>
    <w:rsid w:val="2A24481E"/>
    <w:rsid w:val="30CF71FD"/>
    <w:rsid w:val="33B70985"/>
    <w:rsid w:val="352A5647"/>
    <w:rsid w:val="5765589C"/>
    <w:rsid w:val="5D0921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480"/>
    </w:pPr>
    <w:rPr>
      <w:rFonts w:ascii="Calibri" w:hAnsi="Calibri" w:eastAsia="微软雅黑" w:cstheme="minorBidi"/>
      <w:color w:val="1E293B"/>
      <w:sz w:val="21"/>
      <w:szCs w:val="22"/>
    </w:rPr>
  </w:style>
  <w:style w:type="paragraph" w:styleId="2">
    <w:name w:val="heading 1"/>
    <w:basedOn w:val="1"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2563EB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1E293B"/>
      <w:sz w:val="28"/>
    </w:rPr>
  </w:style>
  <w:style w:type="paragraph" w:styleId="4">
    <w:name w:val="heading 3"/>
    <w:basedOn w:val="1"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475569"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pacing w:before="60" w:after="320"/>
      <w:ind w:firstLine="0"/>
      <w:jc w:val="center"/>
    </w:pPr>
    <w:rPr>
      <w:rFonts w:ascii="Calibri" w:hAnsi="Calibri" w:eastAsia="微软雅黑"/>
      <w:color w:val="94A3B8"/>
      <w:sz w:val="20"/>
    </w:rPr>
  </w:style>
  <w:style w:type="paragraph" w:styleId="6">
    <w:name w:val="toc 3"/>
    <w:basedOn w:val="1"/>
    <w:qFormat/>
    <w:uiPriority w:val="0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微软雅黑"/>
      <w:color w:val="475569"/>
    </w:rPr>
  </w:style>
  <w:style w:type="paragraph" w:styleId="7">
    <w:name w:val="toc 1"/>
    <w:basedOn w:val="1"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E293B"/>
    </w:rPr>
  </w:style>
  <w:style w:type="paragraph" w:styleId="8">
    <w:name w:val="toc 2"/>
    <w:basedOn w:val="1"/>
    <w:qFormat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47556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5013</Words>
  <Characters>6691</Characters>
  <TotalTime>6</TotalTime>
  <ScaleCrop>false</ScaleCrop>
  <LinksUpToDate>false</LinksUpToDate>
  <CharactersWithSpaces>6965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2026-05-26T11:37:00Z</dcterms:created>
  <dc:creator>cygpo</dc:creator>
  <cp:lastModifiedBy>杨金辉</cp:lastModifiedBy>
  <dcterms:modified xsi:type="dcterms:W3CDTF">2026-06-06T11:33:41Z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eyJoZGlkIjoiYjU4NThiYTc1MTNmMjdkZDVjZWExYjBmM2RkYjUzMGMiLCJ1c2VySWQiOiIxNjA4NTY5Mjg1In0=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3BC094C942BE4AD88B841187AF2A31B1_13</vt:lpwstr>
  </property>
</Properties>
</file>