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4 STYLE AUDIT &amp; ADVISORY FIRM</w:t>
      </w:r>
    </w:p>
    <w:p>
      <w:pPr>
        <w:pStyle w:val="Heading1"/>
      </w:pPr>
      <w:r>
        <w:t>Human Resources Policy Manual</w:t>
      </w:r>
    </w:p>
    <w:p>
      <w:r>
        <w:t>Version 2.0 - Global Compliance Edition (US &amp; India)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Welcome to the Human Resources Policy Manual of a global Audit &amp; Advisory Firm operating under Big 4 standards.</w:t>
      </w:r>
    </w:p>
    <w:p>
      <w:r>
        <w:t>This document defines policies aligned with international best practices including ethical auditing principles, regulatory compliance, and employee governance.</w:t>
      </w:r>
    </w:p>
    <w:p>
      <w:r>
        <w:t>All employees, contractors, and interns are required to comply strictly with this manual.</w:t>
      </w:r>
    </w:p>
    <w:p>
      <w:r>
        <w:t>This version incorporates guidelines aligned with US GAAP environment expectations and Indian Companies Act oriented compliance structures.</w:t>
      </w:r>
    </w:p>
    <w:p>
      <w:pPr>
        <w:pStyle w:val="Heading1"/>
      </w:pPr>
      <w:r>
        <w:t>2. Company Overview</w:t>
      </w:r>
    </w:p>
    <w:p>
      <w:r>
        <w:t>The firm provides Audit, Assurance, Tax, Risk Advisory, and Financial Consulting services.</w:t>
      </w:r>
    </w:p>
    <w:p>
      <w:r>
        <w:t>It operates across multinational clients requiring strict confidentiality and regulatory adherence.</w:t>
      </w:r>
    </w:p>
    <w:p>
      <w:r>
        <w:t>The organization follows independence standards similar to global audit firms.</w:t>
      </w:r>
    </w:p>
    <w:p>
      <w:r>
        <w:t>All employees are expected to maintain objectivity, integrity, and professional skepticism at all times.</w:t>
      </w:r>
    </w:p>
    <w:p>
      <w:pPr>
        <w:pStyle w:val="Heading1"/>
      </w:pPr>
      <w:r>
        <w:t>3. Equal Employment Opportunity</w:t>
      </w:r>
    </w:p>
    <w:p>
      <w:r>
        <w:t>The firm provides equal opportunity employment regardless of race, gender, religion, nationality, disability, or age.</w:t>
      </w:r>
    </w:p>
    <w:p>
      <w:r>
        <w:t>Hiring decisions are strictly merit-based and competency-driven.</w:t>
      </w:r>
    </w:p>
    <w:p>
      <w:r>
        <w:t>Discrimination or bias in recruitment, promotion, or compensation is strictly prohibited.</w:t>
      </w:r>
    </w:p>
    <w:p>
      <w:pPr>
        <w:pStyle w:val="Heading1"/>
      </w:pPr>
      <w:r>
        <w:t>4. Recruitment &amp; Selection</w:t>
      </w:r>
    </w:p>
    <w:p>
      <w:r>
        <w:t>All recruitment follows structured competency-based assessment.</w:t>
      </w:r>
    </w:p>
    <w:p>
      <w:r>
        <w:t>Background verification, reference checks, and ethics clearance are mandatory for audit roles.</w:t>
      </w:r>
    </w:p>
    <w:p>
      <w:r>
        <w:t>Conflicts of interest must be declared prior to onboarding.</w:t>
      </w:r>
    </w:p>
    <w:p>
      <w:r>
        <w:t>Candidates must pass technical evaluation tests including accounting, auditing, and analytical reasoning.</w:t>
      </w:r>
    </w:p>
    <w:p>
      <w:pPr>
        <w:pStyle w:val="Heading1"/>
      </w:pPr>
      <w:r>
        <w:t>5. Code of Conduct &amp; Ethics</w:t>
      </w:r>
    </w:p>
    <w:p>
      <w:r>
        <w:t>Employees must maintain high ethical standards consistent with auditing independence principles.</w:t>
      </w:r>
    </w:p>
    <w:p>
      <w:r>
        <w:t>Any manipulation of financial data or audit evidence is strictly prohibited.</w:t>
      </w:r>
    </w:p>
    <w:p>
      <w:r>
        <w:t>Professional skepticism must be applied in all engagements.</w:t>
      </w:r>
    </w:p>
    <w:p>
      <w:r>
        <w:t>Bribery, corruption, or client inducements are strictly forbidden.</w:t>
      </w:r>
    </w:p>
    <w:p>
      <w:pPr>
        <w:pStyle w:val="Heading1"/>
      </w:pPr>
      <w:r>
        <w:t>6. Confidentiality &amp; Data Protection</w:t>
      </w:r>
    </w:p>
    <w:p>
      <w:r>
        <w:t>All client and firm data is strictly confidential.</w:t>
      </w:r>
    </w:p>
    <w:p>
      <w:r>
        <w:t>Employees must not share audit documentation externally without authorization.</w:t>
      </w:r>
    </w:p>
    <w:p>
      <w:r>
        <w:t>Data must be stored in secure approved systems only.</w:t>
      </w:r>
    </w:p>
    <w:p>
      <w:r>
        <w:t>Violation of confidentiality may lead to immediate termination and legal action.</w:t>
      </w:r>
    </w:p>
    <w:p>
      <w:pPr>
        <w:pStyle w:val="Heading1"/>
      </w:pPr>
      <w:r>
        <w:t>7. Leave Policy (US + India Hybrid)</w:t>
      </w:r>
    </w:p>
    <w:p>
      <w:r>
        <w:t>The firm provides structured leave policies aligned with global standards.</w:t>
      </w:r>
    </w:p>
    <w:p>
      <w:r>
        <w:t>Annual leave: 20–25 working days depending on seniority.</w:t>
      </w:r>
    </w:p>
    <w:p>
      <w:r>
        <w:t>Sick leave: 10–12 days per year with medical certification requirements.</w:t>
      </w:r>
    </w:p>
    <w:p>
      <w:r>
        <w:t>Maternity leave: As per applicable US FMLA / Indian Maternity Benefit Act where applicable.</w:t>
      </w:r>
    </w:p>
    <w:p>
      <w:r>
        <w:t>Paternity leave: Available subject to regional policy.</w:t>
      </w:r>
    </w:p>
    <w:p>
      <w:r>
        <w:t>Unpaid leave may be granted under exceptional circumstances.</w:t>
      </w:r>
    </w:p>
    <w:p>
      <w:pPr>
        <w:pStyle w:val="Heading1"/>
      </w:pPr>
      <w:r>
        <w:t>8. Compensation &amp; Payroll</w:t>
      </w:r>
    </w:p>
    <w:p>
      <w:r>
        <w:t>Salary is processed monthly with applicable statutory deductions.</w:t>
      </w:r>
    </w:p>
    <w:p>
      <w:r>
        <w:t>Overtime must be pre-approved by management.</w:t>
      </w:r>
    </w:p>
    <w:p>
      <w:r>
        <w:t>Performance bonuses are linked to individual and firm performance metrics.</w:t>
      </w:r>
    </w:p>
    <w:p>
      <w:r>
        <w:t>Tax deductions follow respective jurisdictional laws.</w:t>
      </w:r>
    </w:p>
    <w:p>
      <w:pPr>
        <w:pStyle w:val="Heading1"/>
      </w:pPr>
      <w:r>
        <w:t>9. Performance Management</w:t>
      </w:r>
    </w:p>
    <w:p>
      <w:r>
        <w:t>Performance is evaluated quarterly based on accuracy, efficiency, teamwork, and client feedback.</w:t>
      </w:r>
    </w:p>
    <w:p>
      <w:r>
        <w:t>Employees may be placed on Performance Improvement Plans if required.</w:t>
      </w:r>
    </w:p>
    <w:p>
      <w:r>
        <w:t>Promotion cycles are merit-based and aligned with global audit firm structures.</w:t>
      </w:r>
    </w:p>
    <w:p>
      <w:pPr>
        <w:pStyle w:val="Heading1"/>
      </w:pPr>
      <w:r>
        <w:t>10. Training &amp; Development</w:t>
      </w:r>
    </w:p>
    <w:p>
      <w:r>
        <w:t>The firm invests heavily in continuous professional education.</w:t>
      </w:r>
    </w:p>
    <w:p>
      <w:r>
        <w:t>Employees receive IFRS, US GAAP, auditing standards, and ethics training.</w:t>
      </w:r>
    </w:p>
    <w:p>
      <w:r>
        <w:t>Mandatory annual compliance training is required for all staff.</w:t>
      </w:r>
    </w:p>
    <w:p>
      <w:r>
        <w:t>Certification support (CPA, ACCA, CA) is encouraged.</w:t>
      </w:r>
    </w:p>
    <w:p>
      <w:pPr>
        <w:pStyle w:val="Heading1"/>
      </w:pPr>
      <w:r>
        <w:t>11. Audit Ethics &amp; Independence</w:t>
      </w:r>
    </w:p>
    <w:p>
      <w:r>
        <w:t>The firm adheres to strict independence rules similar to Big 4 audit firms.</w:t>
      </w:r>
    </w:p>
    <w:p>
      <w:r>
        <w:t>Employees must not audit entities where financial or personal conflicts exist.</w:t>
      </w:r>
    </w:p>
    <w:p>
      <w:r>
        <w:t>All suspicious financial activities must be escalated immediately.</w:t>
      </w:r>
    </w:p>
    <w:p>
      <w:r>
        <w:t>Whistleblower protection is guaranteed.</w:t>
      </w:r>
    </w:p>
    <w:p>
      <w:pPr>
        <w:pStyle w:val="Heading1"/>
      </w:pPr>
      <w:r>
        <w:t>12. Exit &amp; Termination Policy</w:t>
      </w:r>
    </w:p>
    <w:p>
      <w:r>
        <w:t>Employees must serve notice period of 30–90 days depending on role.</w:t>
      </w:r>
    </w:p>
    <w:p>
      <w:r>
        <w:t>All company assets must be returned before exit clearance.</w:t>
      </w:r>
    </w:p>
    <w:p>
      <w:r>
        <w:t>Exit interviews are mandatory for feedback collection.</w:t>
      </w:r>
    </w:p>
    <w:p>
      <w:r>
        <w:t>Final settlement is processed after clearance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