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GLOBAL AUDIT &amp; ADVISORY FIRM</w:t>
      </w:r>
    </w:p>
    <w:p>
      <w:pPr>
        <w:pStyle w:val="Heading1"/>
      </w:pPr>
      <w:r>
        <w:t>Human Resources Policy Manual (Big 4 Style)</w:t>
      </w:r>
    </w:p>
    <w:p>
      <w:r>
        <w:t>Version 3.0 | Global Compliance Edition (US + India + International Standards)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This Human Resources Manual establishes global employment standards for a Big 4–style Audit &amp; Advisory Firm.</w:t>
      </w:r>
    </w:p>
    <w:p>
      <w:r>
        <w:t>It is aligned with international best practices including US labor expectations, Indian employment regulations, and global auditing independence standards.</w:t>
      </w:r>
    </w:p>
    <w:p>
      <w:r>
        <w:t>The policies herein apply to all employees, contractors, interns, and consultants.</w:t>
      </w:r>
    </w:p>
    <w:p>
      <w:r>
        <w:t>The firm operates in a regulated environment requiring strict adherence to confidentiality, ethics, and professional conduct.</w:t>
      </w:r>
    </w:p>
    <w:p>
      <w:pPr>
        <w:pStyle w:val="Heading1"/>
      </w:pPr>
      <w:r>
        <w:t>2. Organization Overview</w:t>
      </w:r>
    </w:p>
    <w:p>
      <w:r>
        <w:t>The firm provides Audit, Assurance, Tax, Advisory, Risk Management, and Forensic services.</w:t>
      </w:r>
    </w:p>
    <w:p>
      <w:r>
        <w:t>It operates globally across multiple jurisdictions and regulated industries.</w:t>
      </w:r>
    </w:p>
    <w:p>
      <w:r>
        <w:t>Employees are expected to maintain professional skepticism and independence in all engagements.</w:t>
      </w:r>
    </w:p>
    <w:p>
      <w:r>
        <w:t>The firm follows governance structures similar to Deloitte, PwC, EY, and KPMG operating models.</w:t>
      </w:r>
    </w:p>
    <w:p>
      <w:pPr>
        <w:pStyle w:val="Heading1"/>
      </w:pPr>
      <w:r>
        <w:t>3. Equal Employment Opportunity (EEO)</w:t>
      </w:r>
    </w:p>
    <w:p>
      <w:r>
        <w:t>Employment decisions are based solely on merit, qualifications, and business needs.</w:t>
      </w:r>
    </w:p>
    <w:p>
      <w:r>
        <w:t>The firm prohibits discrimination based on gender, race, nationality, religion, disability, or age.</w:t>
      </w:r>
    </w:p>
    <w:p>
      <w:r>
        <w:t>Harassment or retaliation against employees is strictly prohibited and subject to disciplinary action.</w:t>
      </w:r>
    </w:p>
    <w:p>
      <w:r>
        <w:t>Diversity, equity, and inclusion initiatives are actively promoted.</w:t>
      </w:r>
    </w:p>
    <w:p>
      <w:pPr>
        <w:pStyle w:val="Heading1"/>
      </w:pPr>
      <w:r>
        <w:t>4. Recruitment &amp; Onboarding</w:t>
      </w:r>
    </w:p>
    <w:p>
      <w:r>
        <w:t>All hiring processes follow structured competency frameworks.</w:t>
      </w:r>
    </w:p>
    <w:p>
      <w:r>
        <w:t>Candidates undergo technical assessment, behavioral interviews, and ethics screening.</w:t>
      </w:r>
    </w:p>
    <w:p>
      <w:r>
        <w:t>Background verification is mandatory for all audit-related roles.</w:t>
      </w:r>
    </w:p>
    <w:p>
      <w:r>
        <w:t>Onboarding includes mandatory training in ethics, confidentiality, and audit independence.</w:t>
      </w:r>
    </w:p>
    <w:p>
      <w:pPr>
        <w:pStyle w:val="Heading1"/>
      </w:pPr>
      <w:r>
        <w:t>5. Employment Classification</w:t>
      </w:r>
    </w:p>
    <w:p>
      <w:r>
        <w:t>Employees are categorized as Full-time, Part-time, Contractual, Interns, or Consultants.</w:t>
      </w:r>
    </w:p>
    <w:p>
      <w:r>
        <w:t>Each category has distinct eligibility for benefits, bonuses, and leave entitlements.</w:t>
      </w:r>
    </w:p>
    <w:p>
      <w:r>
        <w:t>Contract terms are defined in written agreements prior to commencement of employment.</w:t>
      </w:r>
    </w:p>
    <w:p>
      <w:pPr>
        <w:pStyle w:val="Heading1"/>
      </w:pPr>
      <w:r>
        <w:t>6. Code of Conduct &amp; Professional Ethics</w:t>
      </w:r>
    </w:p>
    <w:p>
      <w:r>
        <w:t>Employees must uphold integrity, objectivity, and professional skepticism at all times.</w:t>
      </w:r>
    </w:p>
    <w:p>
      <w:r>
        <w:t>Any falsification of audit records or financial misrepresentation is strictly prohibited.</w:t>
      </w:r>
    </w:p>
    <w:p>
      <w:r>
        <w:t>Employees must avoid any activity that could compromise independence.</w:t>
      </w:r>
    </w:p>
    <w:p>
      <w:r>
        <w:t>Bribery, corruption, or unethical client influence is grounds for immediate termination.</w:t>
      </w:r>
    </w:p>
    <w:p>
      <w:r>
        <w:t>The firm adheres to IFAC and international auditing ethics standards.</w:t>
      </w:r>
    </w:p>
    <w:p>
      <w:pPr>
        <w:pStyle w:val="Heading1"/>
      </w:pPr>
      <w:r>
        <w:t>7. Confidentiality &amp; Data Protection</w:t>
      </w:r>
    </w:p>
    <w:p>
      <w:r>
        <w:t>All client data is strictly confidential and must not be disclosed externally.</w:t>
      </w:r>
    </w:p>
    <w:p>
      <w:r>
        <w:t>Employees must use only approved secure systems for data storage and communication.</w:t>
      </w:r>
    </w:p>
    <w:p>
      <w:r>
        <w:t>Personal devices may not be used for handling sensitive audit information.</w:t>
      </w:r>
    </w:p>
    <w:p>
      <w:r>
        <w:t>Violations may lead to termination and legal prosecution under applicable data protection laws.</w:t>
      </w:r>
    </w:p>
    <w:p>
      <w:pPr>
        <w:pStyle w:val="Heading1"/>
      </w:pPr>
      <w:r>
        <w:t>8. Audit Independence Policy</w:t>
      </w:r>
    </w:p>
    <w:p>
      <w:r>
        <w:t>Employees must maintain independence from audit clients at all times.</w:t>
      </w:r>
    </w:p>
    <w:p>
      <w:r>
        <w:t>Financial interests in client companies must be disclosed immediately.</w:t>
      </w:r>
    </w:p>
    <w:p>
      <w:r>
        <w:t>Rotation of audit personnel is enforced for regulated engagements.</w:t>
      </w:r>
    </w:p>
    <w:p>
      <w:r>
        <w:t>Any conflict of interest must be reported to compliance officers.</w:t>
      </w:r>
    </w:p>
    <w:p>
      <w:pPr>
        <w:pStyle w:val="Heading1"/>
      </w:pPr>
      <w:r>
        <w:t>9. Compensation &amp; Benefits</w:t>
      </w:r>
    </w:p>
    <w:p>
      <w:r>
        <w:t>Salaries are determined based on role, market benchmarks, and performance.</w:t>
      </w:r>
    </w:p>
    <w:p>
      <w:r>
        <w:t>Bonus structures are tied to individual and firm-wide performance metrics.</w:t>
      </w:r>
    </w:p>
    <w:p>
      <w:r>
        <w:t>Statutory deductions apply based on jurisdiction.</w:t>
      </w:r>
    </w:p>
    <w:p>
      <w:r>
        <w:t>Employees may be eligible for retirement benefits and insurance coverage depending on location.</w:t>
      </w:r>
    </w:p>
    <w:p>
      <w:pPr>
        <w:pStyle w:val="Heading1"/>
      </w:pPr>
      <w:r>
        <w:t>10. Payroll Management</w:t>
      </w:r>
    </w:p>
    <w:p>
      <w:r>
        <w:t>Payroll is processed monthly in accordance with applicable tax laws.</w:t>
      </w:r>
    </w:p>
    <w:p>
      <w:r>
        <w:t>Overtime compensation requires prior written approval.</w:t>
      </w:r>
    </w:p>
    <w:p>
      <w:r>
        <w:t>Salary revisions occur annually based on performance reviews.</w:t>
      </w:r>
    </w:p>
    <w:p>
      <w:r>
        <w:t>Errors in payroll must be reported within 7 working days.</w:t>
      </w:r>
    </w:p>
    <w:p>
      <w:pPr>
        <w:pStyle w:val="Heading1"/>
      </w:pPr>
      <w:r>
        <w:t>11. Leave Policy</w:t>
      </w:r>
    </w:p>
    <w:p>
      <w:r>
        <w:t>Annual leave entitlement ranges from 20 to 30 days depending on seniority.</w:t>
      </w:r>
    </w:p>
    <w:p>
      <w:r>
        <w:t>Sick leave requires appropriate documentation for extended absence.</w:t>
      </w:r>
    </w:p>
    <w:p>
      <w:r>
        <w:t>Maternity leave follows statutory requirements in respective jurisdictions.</w:t>
      </w:r>
    </w:p>
    <w:p>
      <w:r>
        <w:t>Paternity leave is granted according to regional policy frameworks.</w:t>
      </w:r>
    </w:p>
    <w:p>
      <w:r>
        <w:t>Unpaid leave may be granted in exceptional circumstances.</w:t>
      </w:r>
    </w:p>
    <w:p>
      <w:pPr>
        <w:pStyle w:val="Heading1"/>
      </w:pPr>
      <w:r>
        <w:t>12. Performance Management System</w:t>
      </w:r>
    </w:p>
    <w:p>
      <w:r>
        <w:t>Performance reviews occur quarterly and annually.</w:t>
      </w:r>
    </w:p>
    <w:p>
      <w:r>
        <w:t>Evaluation criteria include accuracy, timeliness, leadership, and ethics.</w:t>
      </w:r>
    </w:p>
    <w:p>
      <w:r>
        <w:t>Employees may be placed on Performance Improvement Plans (PIP) if required.</w:t>
      </w:r>
    </w:p>
    <w:p>
      <w:r>
        <w:t>Promotions are based on merit and organizational needs.</w:t>
      </w:r>
    </w:p>
    <w:p>
      <w:pPr>
        <w:pStyle w:val="Heading1"/>
      </w:pPr>
      <w:r>
        <w:t>13. Learning &amp; Development</w:t>
      </w:r>
    </w:p>
    <w:p>
      <w:r>
        <w:t>The firm provides continuous professional education in auditing standards.</w:t>
      </w:r>
    </w:p>
    <w:p>
      <w:r>
        <w:t>Employees are encouraged to pursue CPA, ACCA, CA, and related certifications.</w:t>
      </w:r>
    </w:p>
    <w:p>
      <w:r>
        <w:t>Mandatory annual compliance training is required.</w:t>
      </w:r>
    </w:p>
    <w:p>
      <w:r>
        <w:t>Technical training includes IFRS, US GAAP, and risk advisory frameworks.</w:t>
      </w:r>
    </w:p>
    <w:p>
      <w:pPr>
        <w:pStyle w:val="Heading1"/>
      </w:pPr>
      <w:r>
        <w:t>14. IT &amp; Cybersecurity Policy</w:t>
      </w:r>
    </w:p>
    <w:p>
      <w:r>
        <w:t>Employees must comply with cybersecurity protocols.</w:t>
      </w:r>
    </w:p>
    <w:p>
      <w:r>
        <w:t>Unauthorized software installation is prohibited.</w:t>
      </w:r>
    </w:p>
    <w:p>
      <w:r>
        <w:t>All systems must use strong authentication and secure access methods.</w:t>
      </w:r>
    </w:p>
    <w:p>
      <w:r>
        <w:t>Data breaches must be reported immediately.</w:t>
      </w:r>
    </w:p>
    <w:p>
      <w:pPr>
        <w:pStyle w:val="Heading1"/>
      </w:pPr>
      <w:r>
        <w:t>15. Remote Work Policy</w:t>
      </w:r>
    </w:p>
    <w:p>
      <w:r>
        <w:t>Remote work is permitted with managerial approval.</w:t>
      </w:r>
    </w:p>
    <w:p>
      <w:r>
        <w:t>Employees must maintain productivity and availability during working hours.</w:t>
      </w:r>
    </w:p>
    <w:p>
      <w:r>
        <w:t>Secure VPN access is mandatory for remote systems.</w:t>
      </w:r>
    </w:p>
    <w:p>
      <w:r>
        <w:t>Confidential work must not be conducted in public environments.</w:t>
      </w:r>
    </w:p>
    <w:p>
      <w:pPr>
        <w:pStyle w:val="Heading1"/>
      </w:pPr>
      <w:r>
        <w:t>16. Travel &amp; Expense Policy</w:t>
      </w:r>
    </w:p>
    <w:p>
      <w:r>
        <w:t>Business travel must be pre-approved.</w:t>
      </w:r>
    </w:p>
    <w:p>
      <w:r>
        <w:t>Expenses must be supported by receipts.</w:t>
      </w:r>
    </w:p>
    <w:p>
      <w:r>
        <w:t>Luxury or non-essential expenses are not reimbursable.</w:t>
      </w:r>
    </w:p>
    <w:p>
      <w:r>
        <w:t>Per diem allowances are provided based on location.</w:t>
      </w:r>
    </w:p>
    <w:p>
      <w:pPr>
        <w:pStyle w:val="Heading1"/>
      </w:pPr>
      <w:r>
        <w:t>17. Disciplinary Procedures</w:t>
      </w:r>
    </w:p>
    <w:p>
      <w:r>
        <w:t>Disciplinary actions follow a structured escalation process.</w:t>
      </w:r>
    </w:p>
    <w:p>
      <w:r>
        <w:t>Warnings may be verbal or written depending on severity.</w:t>
      </w:r>
    </w:p>
    <w:p>
      <w:r>
        <w:t>Serious misconduct may result in immediate termination.</w:t>
      </w:r>
    </w:p>
    <w:p>
      <w:r>
        <w:t>Employees have the right to respond to allegations.</w:t>
      </w:r>
    </w:p>
    <w:p>
      <w:pPr>
        <w:pStyle w:val="Heading1"/>
      </w:pPr>
      <w:r>
        <w:t>18. Grievance Redressal</w:t>
      </w:r>
    </w:p>
    <w:p>
      <w:r>
        <w:t>Employees may report grievances through HR or anonymous channels.</w:t>
      </w:r>
    </w:p>
    <w:p>
      <w:r>
        <w:t>All complaints are handled confidentially.</w:t>
      </w:r>
    </w:p>
    <w:p>
      <w:r>
        <w:t>Retaliation against complainants is strictly prohibited.</w:t>
      </w:r>
    </w:p>
    <w:p>
      <w:r>
        <w:t>Investigations are conducted fairly and promptly.</w:t>
      </w:r>
    </w:p>
    <w:p>
      <w:pPr>
        <w:pStyle w:val="Heading1"/>
      </w:pPr>
      <w:r>
        <w:t>19. Whistleblower Protection</w:t>
      </w:r>
    </w:p>
    <w:p>
      <w:r>
        <w:t>The firm encourages reporting of unethical behavior.</w:t>
      </w:r>
    </w:p>
    <w:p>
      <w:r>
        <w:t>Whistleblowers are protected from retaliation.</w:t>
      </w:r>
    </w:p>
    <w:p>
      <w:r>
        <w:t>Reports may be submitted anonymously.</w:t>
      </w:r>
    </w:p>
    <w:p>
      <w:r>
        <w:t>All allegations are investigated independently.</w:t>
      </w:r>
    </w:p>
    <w:p>
      <w:pPr>
        <w:pStyle w:val="Heading1"/>
      </w:pPr>
      <w:r>
        <w:t>20. Exit &amp; Termination Policy</w:t>
      </w:r>
    </w:p>
    <w:p>
      <w:r>
        <w:t>Employees must serve notice periods between 30 and 90 days.</w:t>
      </w:r>
    </w:p>
    <w:p>
      <w:r>
        <w:t>All company assets must be returned prior to exit clearance.</w:t>
      </w:r>
    </w:p>
    <w:p>
      <w:r>
        <w:t>Exit interviews are mandatory.</w:t>
      </w:r>
    </w:p>
    <w:p>
      <w:r>
        <w:t>Final settlement is processed after clearance completion.</w:t>
      </w:r>
    </w:p>
    <w:p>
      <w:pPr>
        <w:pStyle w:val="Heading1"/>
      </w:pPr>
      <w:r>
        <w:t>21. Legal &amp; Regulatory Compliance</w:t>
      </w:r>
    </w:p>
    <w:p>
      <w:r>
        <w:t>The firm complies with applicable labor laws in all operating jurisdictions.</w:t>
      </w:r>
    </w:p>
    <w:p>
      <w:r>
        <w:t>In the US, compliance includes FLSA and EEOC guidelines.</w:t>
      </w:r>
    </w:p>
    <w:p>
      <w:r>
        <w:t>In India, compliance includes the Industrial Disputes Act and Shops &amp; Establishments Act.</w:t>
      </w:r>
    </w:p>
    <w:p>
      <w:r>
        <w:t>Employees must adhere to all applicable regulatory requirements.</w:t>
      </w:r>
    </w:p>
    <w:p>
      <w:pPr>
        <w:pStyle w:val="Heading1"/>
      </w:pPr>
      <w:r>
        <w:t>22. Diversity, Equity &amp; Inclusion (DEI)</w:t>
      </w:r>
    </w:p>
    <w:p>
      <w:r>
        <w:t>The firm promotes inclusive workplace practices.</w:t>
      </w:r>
    </w:p>
    <w:p>
      <w:r>
        <w:t>Diversity in hiring and leadership is actively encouraged.</w:t>
      </w:r>
    </w:p>
    <w:p>
      <w:r>
        <w:t>Bias-free decision making is mandatory in HR processes.</w:t>
      </w:r>
    </w:p>
    <w:p>
      <w:r>
        <w:t>Employee resource groups may be formed to support inclusion initiatives.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