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FF5A36"/>
          <w:sz w:val="72"/>
          <w:szCs w:val="72"/>
        </w:rPr>
        <w:t xml:space="preserve">NEARBY</w:t>
      </w:r>
    </w:p>
    <w:p>
      <w:pPr>
        <w:spacing w:after="400"/>
        <w:jc w:val="center"/>
      </w:pPr>
      <w:r>
        <w:rPr>
          <w:b/>
          <w:bCs/>
          <w:color w:val="1B2A4A"/>
          <w:sz w:val="32"/>
          <w:szCs w:val="32"/>
        </w:rPr>
        <w:t xml:space="preserve">Brand, Icon &amp; PWA Manifest Guide</w:t>
      </w:r>
    </w:p>
    <w:p>
      <w:pPr>
        <w:spacing w:after="80" w:before="12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80" w:before="400"/>
        <w:jc w:val="center"/>
      </w:pPr>
      <w:r>
        <w:rPr>
          <w:color w:val="3A3F4B"/>
          <w:sz w:val="22"/>
          <w:szCs w:val="22"/>
        </w:rPr>
        <w:t xml:space="preserve">Version 1.0</w:t>
      </w:r>
    </w:p>
    <w:p>
      <w:pPr>
        <w:spacing w:after="80"/>
        <w:jc w:val="center"/>
      </w:pPr>
      <w:r>
        <w:rPr>
          <w:i/>
          <w:iCs/>
          <w:color w:val="6B7280"/>
          <w:sz w:val="20"/>
          <w:szCs w:val="20"/>
        </w:rPr>
        <w:t xml:space="preserve">Companion to NEARBY Master Build Document v2.6.2</w:t>
      </w:r>
    </w:p>
    <w:p>
      <w:pPr>
        <w:spacing w:after="800"/>
        <w:jc w:val="center"/>
      </w:pPr>
      <w:r>
        <w:rPr>
          <w:color w:val="6B7280"/>
          <w:sz w:val="20"/>
          <w:szCs w:val="20"/>
        </w:rPr>
        <w:t xml:space="preserve">Deployment target: free Netlify subdomain (e.g. nearby-app.netlify.app)</w:t>
      </w:r>
    </w:p>
    <w:p>
      <w:pPr>
        <w:jc w:val="center"/>
      </w:pPr>
      <w:r>
        <w:rPr>
          <w:i/>
          <w:iCs/>
          <w:color w:val="3A3F4B"/>
          <w:sz w:val="19"/>
          <w:szCs w:val="19"/>
        </w:rPr>
        <w:t xml:space="preserve">All decisions below are final defaults chosen for this build. Anything the pilot wants to override is called out explicitly.</w:t>
      </w:r>
    </w:p>
    <w:p>
      <w:pPr>
        <w:sectPr>
          <w:pgSz w:w="12240" w:h="15840" w:orient="portrait"/>
          <w:pgMar w:top="1440" w:right="1440" w:bottom="1440" w:left="1440" w:header="708" w:footer="708" w:gutter="0"/>
          <w:pgNumType/>
          <w:docGrid w:linePitch="360"/>
        </w:sectPr>
      </w:pPr>
    </w:p>
    <w:p>
      <w:pPr>
        <w:pStyle w:val="Heading1"/>
        <w:pBdr>
          <w:bottom w:val="single" w:color="FF5A36" w:sz="6" w:space="6"/>
        </w:pBdr>
        <w:spacing w:after="200" w:before="400"/>
      </w:pPr>
      <w:r>
        <w:rPr>
          <w:b/>
          <w:bCs/>
          <w:color w:val="1B2A4A"/>
        </w:rPr>
        <w:t xml:space="preserve">0. Decisions at a Glance</w:t>
      </w:r>
    </w:p>
    <w:p>
      <w:pPr>
        <w:spacing w:after="160"/>
      </w:pPr>
      <w:r>
        <w:rPr>
          <w:color w:val="222222"/>
          <w:sz w:val="21"/>
          <w:szCs w:val="21"/>
        </w:rPr>
        <w:t xml:space="preserve">Everything in this section is a final, ready-to-implement default. Each is expanded with full rationale and specs in the sections that follow.</w:t>
      </w:r>
    </w:p>
    <w:p>
      <w:pPr>
        <w:pStyle w:val="ListParagraph"/>
        <w:numPr>
          <w:ilvl w:val="0"/>
          <w:numId w:val="2"/>
        </w:numPr>
        <w:spacing w:after="90"/>
      </w:pPr>
      <w:r>
        <w:rPr>
          <w:color w:val="222222"/>
          <w:sz w:val="21"/>
          <w:szCs w:val="21"/>
        </w:rPr>
        <w:t xml:space="preserve">App name: NEARBY (unchanged — already established in the Master Build Document).</w:t>
      </w:r>
    </w:p>
    <w:p>
      <w:pPr>
        <w:pStyle w:val="ListParagraph"/>
        <w:numPr>
          <w:ilvl w:val="0"/>
          <w:numId w:val="2"/>
        </w:numPr>
        <w:spacing w:after="90"/>
      </w:pPr>
      <w:r>
        <w:rPr>
          <w:color w:val="222222"/>
          <w:sz w:val="21"/>
          <w:szCs w:val="21"/>
        </w:rPr>
        <w:t xml:space="preserve">Tagline: “Ask around. Instantly.” — used in the manifest name, App Store–style listings, and marketing surfaces.</w:t>
      </w:r>
    </w:p>
    <w:p>
      <w:pPr>
        <w:pStyle w:val="ListParagraph"/>
        <w:numPr>
          <w:ilvl w:val="0"/>
          <w:numId w:val="2"/>
        </w:numPr>
        <w:spacing w:after="90"/>
      </w:pPr>
      <w:r>
        <w:rPr>
          <w:color w:val="222222"/>
          <w:sz w:val="21"/>
          <w:szCs w:val="21"/>
        </w:rPr>
        <w:t xml:space="preserve">Mark: a location pin with three broadcast arcs, symbolizing a request radiating out to nearby shops.</w:t>
      </w:r>
    </w:p>
    <w:p>
      <w:pPr>
        <w:pStyle w:val="ListParagraph"/>
        <w:numPr>
          <w:ilvl w:val="0"/>
          <w:numId w:val="2"/>
        </w:numPr>
        <w:spacing w:after="90"/>
      </w:pPr>
      <w:r>
        <w:rPr>
          <w:color w:val="222222"/>
          <w:sz w:val="21"/>
          <w:szCs w:val="21"/>
        </w:rPr>
        <w:t xml:space="preserve">Primary color: NEARBY Orange #FF5A36 — shared across all three surfaces; Ink Navy and Signal Teal differentiate Admin and Shop surfaces respectively (Section 3.3).</w:t>
      </w:r>
    </w:p>
    <w:p>
      <w:pPr>
        <w:pStyle w:val="ListParagraph"/>
        <w:numPr>
          <w:ilvl w:val="0"/>
          <w:numId w:val="2"/>
        </w:numPr>
        <w:spacing w:after="90"/>
      </w:pPr>
      <w:r>
        <w:rPr>
          <w:color w:val="222222"/>
          <w:sz w:val="21"/>
          <w:szCs w:val="21"/>
        </w:rPr>
        <w:t xml:space="preserve">Typeface: Inter (free, open-source, variable font) with a system-font fallback stack for zero-cost, zero-latency PWA loading.</w:t>
      </w:r>
    </w:p>
    <w:p>
      <w:pPr>
        <w:pStyle w:val="ListParagraph"/>
        <w:numPr>
          <w:ilvl w:val="0"/>
          <w:numId w:val="2"/>
        </w:numPr>
        <w:spacing w:after="90"/>
      </w:pPr>
      <w:r>
        <w:rPr>
          <w:color w:val="222222"/>
          <w:sz w:val="21"/>
          <w:szCs w:val="21"/>
        </w:rPr>
        <w:t xml:space="preserve">Icon set: 11 PNGs (48–512px, incl. two maskable sizes) + favicon.ico + apple-touch-icon, all generated from two source SVGs — delivered alongside this document (Section 7).</w:t>
      </w:r>
    </w:p>
    <w:p>
      <w:pPr>
        <w:pStyle w:val="ListParagraph"/>
        <w:numPr>
          <w:ilvl w:val="0"/>
          <w:numId w:val="2"/>
        </w:numPr>
        <w:spacing w:after="90"/>
      </w:pPr>
      <w:r>
        <w:rPr>
          <w:color w:val="222222"/>
          <w:sz w:val="21"/>
          <w:szCs w:val="21"/>
        </w:rPr>
        <w:t xml:space="preserve">Manifest: complete manifest.json delivered as a standalone file, referenced field-by-field in Section 5.</w:t>
      </w:r>
    </w:p>
    <w:p>
      <w:pPr>
        <w:pStyle w:val="Heading1"/>
        <w:pBdr>
          <w:bottom w:val="single" w:color="FF5A36" w:sz="6" w:space="6"/>
        </w:pBdr>
        <w:spacing w:after="200" w:before="400"/>
      </w:pPr>
      <w:r>
        <w:rPr>
          <w:b/>
          <w:bCs/>
          <w:color w:val="1B2A4A"/>
        </w:rPr>
        <w:t xml:space="preserve">1. Brand Identity</w:t>
      </w:r>
    </w:p>
    <w:p>
      <w:pPr>
        <w:pStyle w:val="Heading2"/>
        <w:spacing w:after="150" w:before="300"/>
      </w:pPr>
      <w:r>
        <w:rPr>
          <w:b/>
          <w:bCs/>
          <w:color w:val="1B2A4A"/>
        </w:rPr>
        <w:t xml:space="preserve">1.1 — Name</w:t>
      </w:r>
    </w:p>
    <w:p>
      <w:pPr>
        <w:spacing w:after="160"/>
      </w:pPr>
      <w:r>
        <w:rPr>
          <w:color w:val="222222"/>
          <w:sz w:val="21"/>
          <w:szCs w:val="21"/>
        </w:rPr>
        <w:t xml:space="preserve">NEARBY is kept as-is from the Master Build Document — it already does the job a name needs to do here: it states the product's core mechanic (proximity) in one plain word, reads clearly at every icon size down to 48px, and has no trademark collision risk in the local-commerce/hyperlocal-search category as of this writing.</w:t>
      </w:r>
    </w:p>
    <w:p>
      <w:pPr>
        <w:pStyle w:val="Heading2"/>
        <w:spacing w:after="150" w:before="300"/>
      </w:pPr>
      <w:r>
        <w:rPr>
          <w:b/>
          <w:bCs/>
          <w:color w:val="1B2A4A"/>
        </w:rPr>
        <w:t xml:space="preserve">1.2 — Tagline</w:t>
      </w:r>
    </w:p>
    <w:p>
      <w:pPr>
        <w:spacing w:after="160"/>
      </w:pPr>
      <w:r>
        <w:rPr>
          <w:color w:val="222222"/>
          <w:sz w:val="21"/>
          <w:szCs w:val="21"/>
        </w:rPr>
        <w:t xml:space="preserve">Primary: “Ask around. Instantly.” — captures both halves of the product in four words: the broadcast-a-question mechanic (“ask around”, the way you'd ask a neighbor) and the real-time response window (“instantly”).</w:t>
      </w:r>
    </w:p>
    <w:p>
      <w:pPr>
        <w:spacing w:after="160"/>
      </w:pPr>
      <w:r>
        <w:rPr>
          <w:color w:val="222222"/>
          <w:sz w:val="21"/>
          <w:szCs w:val="21"/>
        </w:rPr>
        <w:t xml:space="preserve">Alternate (shorter, for tight spaces like the browser tab or app-switcher card): “Nearby. Right now.”</w:t>
      </w:r>
    </w:p>
    <w:p>
      <w:pPr>
        <w:pStyle w:val="Heading2"/>
        <w:spacing w:after="150" w:before="300"/>
      </w:pPr>
      <w:r>
        <w:rPr>
          <w:b/>
          <w:bCs/>
          <w:color w:val="1B2A4A"/>
        </w:rPr>
        <w:t xml:space="preserve">1.3 — Positioning statement</w:t>
      </w:r>
    </w:p>
    <w:p>
      <w:pPr>
        <w:spacing w:after="160"/>
      </w:pPr>
      <w:r>
        <w:rPr>
          <w:color w:val="222222"/>
          <w:sz w:val="21"/>
          <w:szCs w:val="21"/>
        </w:rPr>
        <w:t xml:space="preserve">For a customer standing in front of an empty shelf, NEARBY is the fastest way to find out who nearby actually has what they need — without calling shop after shop or guessing from an out-of-date listing. Unlike general marketplaces, NEARBY doesn't sell anything or take a cut; it just connects a real-time question to the shops close enough to answer it.</w:t>
      </w:r>
    </w:p>
    <w:p>
      <w:pPr>
        <w:pStyle w:val="Heading2"/>
        <w:spacing w:after="150" w:before="300"/>
      </w:pPr>
      <w:r>
        <w:rPr>
          <w:b/>
          <w:bCs/>
          <w:color w:val="1B2A4A"/>
        </w:rPr>
        <w:t xml:space="preserve">1.4 — Voice &amp; tone</w:t>
      </w:r>
    </w:p>
    <w:p>
      <w:pPr>
        <w:pStyle w:val="ListParagraph"/>
        <w:numPr>
          <w:ilvl w:val="0"/>
          <w:numId w:val="2"/>
        </w:numPr>
        <w:spacing w:after="90"/>
      </w:pPr>
      <w:r>
        <w:rPr>
          <w:color w:val="222222"/>
          <w:sz w:val="21"/>
          <w:szCs w:val="21"/>
        </w:rPr>
        <w:t xml:space="preserve">Direct and local — short sentences, plain words, no marketplace jargon (“shops” and “requests,” never “vendors” or “tickets”).</w:t>
      </w:r>
    </w:p>
    <w:p>
      <w:pPr>
        <w:pStyle w:val="ListParagraph"/>
        <w:numPr>
          <w:ilvl w:val="0"/>
          <w:numId w:val="2"/>
        </w:numPr>
        <w:spacing w:after="90"/>
      </w:pPr>
      <w:r>
        <w:rPr>
          <w:color w:val="222222"/>
          <w:sz w:val="21"/>
          <w:szCs w:val="21"/>
        </w:rPr>
        <w:t xml:space="preserve">Calm under real-time pressure — countdown and live-count UI copy stays neutral (“3 shops have answered”), never manufactures urgency.</w:t>
      </w:r>
    </w:p>
    <w:p>
      <w:pPr>
        <w:pStyle w:val="ListParagraph"/>
        <w:numPr>
          <w:ilvl w:val="0"/>
          <w:numId w:val="2"/>
        </w:numPr>
        <w:spacing w:after="90"/>
      </w:pPr>
      <w:r>
        <w:rPr>
          <w:color w:val="222222"/>
          <w:sz w:val="21"/>
          <w:szCs w:val="21"/>
        </w:rPr>
        <w:t xml:space="preserve">Respectful of shopkeepers' time — shop-facing copy is the shortest and most action-oriented of the three surfaces, since FR requirements assume low technical proficiency (Section 2, Master Build Doc).</w:t>
      </w:r>
    </w:p>
    <w:p>
      <w:pPr>
        <w:pStyle w:val="Heading1"/>
        <w:pBdr>
          <w:bottom w:val="single" w:color="FF5A36" w:sz="6" w:space="6"/>
        </w:pBdr>
        <w:spacing w:after="200" w:before="400"/>
      </w:pPr>
      <w:r>
        <w:rPr>
          <w:b/>
          <w:bCs/>
          <w:color w:val="1B2A4A"/>
        </w:rPr>
        <w:t xml:space="preserve">2. Logomark &amp; Icon System</w:t>
      </w:r>
    </w:p>
    <w:p>
      <w:pPr>
        <w:pStyle w:val="Heading2"/>
        <w:spacing w:after="150" w:before="300"/>
      </w:pPr>
      <w:r>
        <w:rPr>
          <w:b/>
          <w:bCs/>
          <w:color w:val="1B2A4A"/>
        </w:rPr>
        <w:t xml:space="preserve">2.1 — Concept</w:t>
      </w:r>
    </w:p>
    <w:p>
      <w:pPr>
        <w:spacing w:after="160"/>
      </w:pPr>
      <w:r>
        <w:rPr>
          <w:color w:val="222222"/>
          <w:sz w:val="21"/>
          <w:szCs w:val="21"/>
        </w:rPr>
        <w:t xml:space="preserve">The mark is a location pin with three concentric arcs fanning above it — the pin is the shop being found; the arcs are the broadcast radiating outward to reach it. It reads at a glance as both “place” and “signal,” the two halves of what the app does, and it survives reduction to a 16px favicon because it's built from two shapes, not fine detail.</w:t>
      </w:r>
    </w:p>
    <w:p>
      <w:pPr>
        <w:pStyle w:val="Heading2"/>
        <w:spacing w:after="150" w:before="300"/>
      </w:pPr>
      <w:r>
        <w:rPr>
          <w:b/>
          <w:bCs/>
          <w:color w:val="1B2A4A"/>
        </w:rPr>
        <w:t xml:space="preserve">2.2 — Construction</w:t>
      </w:r>
    </w:p>
    <w:p>
      <w:pPr>
        <w:pStyle w:val="ListParagraph"/>
        <w:numPr>
          <w:ilvl w:val="0"/>
          <w:numId w:val="2"/>
        </w:numPr>
        <w:spacing w:after="90"/>
      </w:pPr>
      <w:r>
        <w:rPr>
          <w:color w:val="222222"/>
          <w:sz w:val="21"/>
          <w:szCs w:val="21"/>
        </w:rPr>
        <w:t xml:space="preserve">Canvas: 512×512 SVG, exported to every PNG size the manifest and platform targets require (Section 5.2).</w:t>
      </w:r>
    </w:p>
    <w:p>
      <w:pPr>
        <w:pStyle w:val="ListParagraph"/>
        <w:numPr>
          <w:ilvl w:val="0"/>
          <w:numId w:val="2"/>
        </w:numPr>
        <w:spacing w:after="90"/>
      </w:pPr>
      <w:r>
        <w:rPr>
          <w:color w:val="222222"/>
          <w:sz w:val="21"/>
          <w:szCs w:val="21"/>
        </w:rPr>
        <w:t xml:space="preserve">Two source files: nearby-mark.svg (rounded-square background, for app icons/App Store–style listings) and nearby-mark-maskable.svg (full-bleed background, glyph confined to the inner 80% safe circle Android/adaptive icons require).</w:t>
      </w:r>
    </w:p>
    <w:p>
      <w:pPr>
        <w:pStyle w:val="ListParagraph"/>
        <w:numPr>
          <w:ilvl w:val="0"/>
          <w:numId w:val="2"/>
        </w:numPr>
        <w:spacing w:after="90"/>
      </w:pPr>
      <w:r>
        <w:rPr>
          <w:color w:val="222222"/>
          <w:sz w:val="21"/>
          <w:szCs w:val="21"/>
        </w:rPr>
        <w:t xml:space="preserve">Clear space: keep at least 10% of the icon's width as empty margin on every side when placing the mark next to other logos or text.</w:t>
      </w:r>
    </w:p>
    <w:p>
      <w:pPr>
        <w:pStyle w:val="Heading2"/>
        <w:spacing w:after="150" w:before="300"/>
      </w:pPr>
      <w:r>
        <w:rPr>
          <w:b/>
          <w:bCs/>
          <w:color w:val="1B2A4A"/>
        </w:rPr>
        <w:t xml:space="preserve">2.3 — Don'ts</w:t>
      </w:r>
    </w:p>
    <w:p>
      <w:pPr>
        <w:pStyle w:val="ListParagraph"/>
        <w:numPr>
          <w:ilvl w:val="0"/>
          <w:numId w:val="2"/>
        </w:numPr>
        <w:spacing w:after="90"/>
      </w:pPr>
      <w:r>
        <w:rPr>
          <w:color w:val="222222"/>
          <w:sz w:val="21"/>
          <w:szCs w:val="21"/>
        </w:rPr>
        <w:t xml:space="preserve">Don't recolor the glyph off-white or the background off-brand-orange for the primary mark — use the monochrome favicon variant instead if a flat single-color mark is needed.</w:t>
      </w:r>
    </w:p>
    <w:p>
      <w:pPr>
        <w:pStyle w:val="ListParagraph"/>
        <w:numPr>
          <w:ilvl w:val="0"/>
          <w:numId w:val="2"/>
        </w:numPr>
        <w:spacing w:after="90"/>
      </w:pPr>
      <w:r>
        <w:rPr>
          <w:color w:val="222222"/>
          <w:sz w:val="21"/>
          <w:szCs w:val="21"/>
        </w:rPr>
        <w:t xml:space="preserve">Don't stretch or skew — scale uniformly only.</w:t>
      </w:r>
    </w:p>
    <w:p>
      <w:pPr>
        <w:pStyle w:val="ListParagraph"/>
        <w:numPr>
          <w:ilvl w:val="0"/>
          <w:numId w:val="2"/>
        </w:numPr>
        <w:spacing w:after="90"/>
      </w:pPr>
      <w:r>
        <w:rPr>
          <w:color w:val="222222"/>
          <w:sz w:val="21"/>
          <w:szCs w:val="21"/>
        </w:rPr>
        <w:t xml:space="preserve">Don't add a drop shadow or outer glow — the OS/browser chrome already adds its own icon treatment (rounded corners on iOS, circular mask on some Android launchers).</w:t>
      </w:r>
    </w:p>
    <w:p>
      <w:pPr>
        <w:pStyle w:val="Heading2"/>
        <w:spacing w:after="150" w:before="300"/>
      </w:pPr>
      <w:r>
        <w:rPr>
          <w:b/>
          <w:bCs/>
          <w:color w:val="1B2A4A"/>
        </w:rPr>
        <w:t xml:space="preserve">2.4 — The icon system</w:t>
      </w:r>
    </w:p>
    <w:p>
      <w:pPr>
        <w:spacing w:after="80" w:before="120"/>
        <w:jc w:val="center"/>
      </w:pPr>
      <w:r>
        <w:drawing>
          <wp:inline distT="0" distB="0" distL="0" distR="0">
            <wp:extent cx="4572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914400"/>
                    </a:xfrm>
                    <a:prstGeom prst="rect">
                      <a:avLst/>
                    </a:prstGeom>
                  </pic:spPr>
                </pic:pic>
              </a:graphicData>
            </a:graphic>
          </wp:inline>
        </w:drawing>
      </w:r>
    </w:p>
    <w:p>
      <w:pPr>
        <w:spacing w:after="240"/>
        <w:jc w:val="center"/>
      </w:pPr>
      <w:r>
        <w:rPr>
          <w:i/>
          <w:iCs/>
          <w:color w:val="6B7280"/>
          <w:sz w:val="18"/>
          <w:szCs w:val="18"/>
        </w:rPr>
        <w:t xml:space="preserve">Primary mark, maskable safe-zone variant, iOS/favicon renders, and the size ladder — all generated from the two source SVGs.</w:t>
      </w:r>
    </w:p>
    <w:p>
      <w:pPr>
        <w:pStyle w:val="Heading1"/>
        <w:pBdr>
          <w:bottom w:val="single" w:color="FF5A36" w:sz="6" w:space="6"/>
        </w:pBdr>
        <w:spacing w:after="200" w:before="400"/>
      </w:pPr>
      <w:r>
        <w:rPr>
          <w:b/>
          <w:bCs/>
          <w:color w:val="1B2A4A"/>
        </w:rPr>
        <w:t xml:space="preserve">3. Color System</w:t>
      </w:r>
    </w:p>
    <w:p>
      <w:pPr>
        <w:pStyle w:val="Heading2"/>
        <w:spacing w:after="150" w:before="300"/>
      </w:pPr>
      <w:r>
        <w:rPr>
          <w:b/>
          <w:bCs/>
          <w:color w:val="1B2A4A"/>
        </w:rPr>
        <w:t xml:space="preserve">3.1 — Palette</w:t>
      </w:r>
    </w:p>
    <w:p>
      <w:pPr>
        <w:spacing w:after="80" w:before="120"/>
        <w:jc w:val="center"/>
      </w:pPr>
      <w:r>
        <w:drawing>
          <wp:inline distT="0" distB="0" distL="0" distR="0">
            <wp:extent cx="3810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276475"/>
                    </a:xfrm>
                    <a:prstGeom prst="rect">
                      <a:avLst/>
                    </a:prstGeom>
                  </pic:spPr>
                </pic:pic>
              </a:graphicData>
            </a:graphic>
          </wp:inline>
        </w:drawing>
      </w:r>
    </w:p>
    <w:p>
      <w:pPr>
        <w:spacing w:after="240"/>
        <w:jc w:val="center"/>
      </w:pPr>
      <w:r>
        <w:rPr>
          <w:i/>
          <w:iCs/>
          <w:color w:val="6B7280"/>
          <w:sz w:val="18"/>
          <w:szCs w:val="18"/>
        </w:rPr>
        <w:t xml:space="preserve">Full palette with hex values and intended usage.</w:t>
      </w:r>
    </w:p>
    <w:p>
      <w:pPr>
        <w:pStyle w:val="Heading2"/>
        <w:spacing w:after="150" w:before="300"/>
      </w:pPr>
      <w:r>
        <w:rPr>
          <w:b/>
          <w:bCs/>
          <w:color w:val="1B2A4A"/>
        </w:rPr>
        <w:t xml:space="preserve">3.2 — Semantic usage</w:t>
      </w:r>
    </w:p>
    <w:tbl>
      <w:tblPr>
        <w:tblW w:type="dxa" w:w="9400"/>
        <w:tblBorders>
          <w:top w:val="single" w:color="D8DCE3" w:sz="4"/>
          <w:left w:val="single" w:color="D8DCE3" w:sz="4"/>
          <w:bottom w:val="single" w:color="D8DCE3" w:sz="4"/>
          <w:right w:val="single" w:color="D8DCE3" w:sz="4"/>
          <w:insideH w:val="single" w:color="D8DCE3" w:sz="4"/>
          <w:insideV w:val="single" w:color="D8DCE3" w:sz="4"/>
        </w:tblBorders>
      </w:tblPr>
      <w:tblGrid>
        <w:gridCol w:w="2600"/>
        <w:gridCol w:w="3600"/>
        <w:gridCol w:w="3200"/>
      </w:tblGrid>
      <w:tr>
        <w:tc>
          <w:tcPr>
            <w:tcW w:type="dxa" w:w="2600"/>
            <w:shd w:fill="F4F5F7" w:val="clear"/>
            <w:tcMar>
              <w:top w:type="dxa" w:w="100"/>
              <w:left w:type="dxa" w:w="120"/>
              <w:bottom w:type="dxa" w:w="100"/>
              <w:right w:type="dxa" w:w="120"/>
            </w:tcMar>
            <w:vAlign w:val="center"/>
          </w:tcPr>
          <w:p>
            <w:r>
              <w:rPr>
                <w:b/>
                <w:bCs/>
                <w:color w:val="222222"/>
                <w:sz w:val="19"/>
                <w:szCs w:val="19"/>
              </w:rPr>
              <w:t xml:space="preserve">Token</w:t>
            </w:r>
          </w:p>
        </w:tc>
        <w:tc>
          <w:tcPr>
            <w:tcW w:type="dxa" w:w="3600"/>
            <w:shd w:fill="F4F5F7" w:val="clear"/>
            <w:tcMar>
              <w:top w:type="dxa" w:w="100"/>
              <w:left w:type="dxa" w:w="120"/>
              <w:bottom w:type="dxa" w:w="100"/>
              <w:right w:type="dxa" w:w="120"/>
            </w:tcMar>
            <w:vAlign w:val="center"/>
          </w:tcPr>
          <w:p>
            <w:r>
              <w:rPr>
                <w:b/>
                <w:bCs/>
                <w:color w:val="222222"/>
                <w:sz w:val="19"/>
                <w:szCs w:val="19"/>
              </w:rPr>
              <w:t xml:space="preserve">Usage</w:t>
            </w:r>
          </w:p>
        </w:tc>
        <w:tc>
          <w:tcPr>
            <w:tcW w:type="dxa" w:w="3200"/>
            <w:shd w:fill="F4F5F7" w:val="clear"/>
            <w:tcMar>
              <w:top w:type="dxa" w:w="100"/>
              <w:left w:type="dxa" w:w="120"/>
              <w:bottom w:type="dxa" w:w="100"/>
              <w:right w:type="dxa" w:w="120"/>
            </w:tcMar>
            <w:vAlign w:val="center"/>
          </w:tcPr>
          <w:p>
            <w:r>
              <w:rPr>
                <w:b/>
                <w:bCs/>
                <w:color w:val="222222"/>
                <w:sz w:val="19"/>
                <w:szCs w:val="19"/>
              </w:rPr>
              <w:t xml:space="preserve">Maps to</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Primary</w:t>
            </w:r>
          </w:p>
        </w:tc>
        <w:tc>
          <w:tcPr>
            <w:tcW w:type="dxa" w:w="3600"/>
            <w:tcMar>
              <w:top w:type="dxa" w:w="100"/>
              <w:left w:type="dxa" w:w="120"/>
              <w:bottom w:type="dxa" w:w="100"/>
              <w:right w:type="dxa" w:w="120"/>
            </w:tcMar>
            <w:vAlign w:val="center"/>
          </w:tcPr>
          <w:p>
            <w:r>
              <w:rPr>
                <w:b w:val="false"/>
                <w:bCs w:val="false"/>
                <w:color w:val="222222"/>
                <w:sz w:val="19"/>
                <w:szCs w:val="19"/>
              </w:rPr>
              <w:t xml:space="preserve">Primary buttons, active nav, broadcast CTA, links</w:t>
            </w:r>
          </w:p>
        </w:tc>
        <w:tc>
          <w:tcPr>
            <w:tcW w:type="dxa" w:w="3200"/>
            <w:tcMar>
              <w:top w:type="dxa" w:w="100"/>
              <w:left w:type="dxa" w:w="120"/>
              <w:bottom w:type="dxa" w:w="100"/>
              <w:right w:type="dxa" w:w="120"/>
            </w:tcMar>
            <w:vAlign w:val="center"/>
          </w:tcPr>
          <w:p>
            <w:r>
              <w:rPr>
                <w:b w:val="false"/>
                <w:bCs w:val="false"/>
                <w:color w:val="222222"/>
                <w:sz w:val="19"/>
                <w:szCs w:val="19"/>
              </w:rPr>
              <w:t xml:space="preserve">#FF5A36</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Primary-pressed</w:t>
            </w:r>
          </w:p>
        </w:tc>
        <w:tc>
          <w:tcPr>
            <w:tcW w:type="dxa" w:w="3600"/>
            <w:tcMar>
              <w:top w:type="dxa" w:w="100"/>
              <w:left w:type="dxa" w:w="120"/>
              <w:bottom w:type="dxa" w:w="100"/>
              <w:right w:type="dxa" w:w="120"/>
            </w:tcMar>
            <w:vAlign w:val="center"/>
          </w:tcPr>
          <w:p>
            <w:r>
              <w:rPr>
                <w:b w:val="false"/>
                <w:bCs w:val="false"/>
                <w:color w:val="222222"/>
                <w:sz w:val="19"/>
                <w:szCs w:val="19"/>
              </w:rPr>
              <w:t xml:space="preserve">Hover/active/pressed state of primary elements</w:t>
            </w:r>
          </w:p>
        </w:tc>
        <w:tc>
          <w:tcPr>
            <w:tcW w:type="dxa" w:w="3200"/>
            <w:tcMar>
              <w:top w:type="dxa" w:w="100"/>
              <w:left w:type="dxa" w:w="120"/>
              <w:bottom w:type="dxa" w:w="100"/>
              <w:right w:type="dxa" w:w="120"/>
            </w:tcMar>
            <w:vAlign w:val="center"/>
          </w:tcPr>
          <w:p>
            <w:r>
              <w:rPr>
                <w:b w:val="false"/>
                <w:bCs w:val="false"/>
                <w:color w:val="222222"/>
                <w:sz w:val="19"/>
                <w:szCs w:val="19"/>
              </w:rPr>
              <w:t xml:space="preserve">#E24521</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Success</w:t>
            </w:r>
          </w:p>
        </w:tc>
        <w:tc>
          <w:tcPr>
            <w:tcW w:type="dxa" w:w="3600"/>
            <w:tcMar>
              <w:top w:type="dxa" w:w="100"/>
              <w:left w:type="dxa" w:w="120"/>
              <w:bottom w:type="dxa" w:w="100"/>
              <w:right w:type="dxa" w:w="120"/>
            </w:tcMar>
            <w:vAlign w:val="center"/>
          </w:tcPr>
          <w:p>
            <w:r>
              <w:rPr>
                <w:b w:val="false"/>
                <w:bCs w:val="false"/>
                <w:color w:val="222222"/>
                <w:sz w:val="19"/>
                <w:szCs w:val="19"/>
              </w:rPr>
              <w:t xml:space="preserve">‘Yes’ responses, shop open, request:ready state</w:t>
            </w:r>
          </w:p>
        </w:tc>
        <w:tc>
          <w:tcPr>
            <w:tcW w:type="dxa" w:w="3200"/>
            <w:tcMar>
              <w:top w:type="dxa" w:w="100"/>
              <w:left w:type="dxa" w:w="120"/>
              <w:bottom w:type="dxa" w:w="100"/>
              <w:right w:type="dxa" w:w="120"/>
            </w:tcMar>
            <w:vAlign w:val="center"/>
          </w:tcPr>
          <w:p>
            <w:r>
              <w:rPr>
                <w:b w:val="false"/>
                <w:bCs w:val="false"/>
                <w:color w:val="222222"/>
                <w:sz w:val="19"/>
                <w:szCs w:val="19"/>
              </w:rPr>
              <w:t xml:space="preserve">#00B8A9</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Warning</w:t>
            </w:r>
          </w:p>
        </w:tc>
        <w:tc>
          <w:tcPr>
            <w:tcW w:type="dxa" w:w="3600"/>
            <w:tcMar>
              <w:top w:type="dxa" w:w="100"/>
              <w:left w:type="dxa" w:w="120"/>
              <w:bottom w:type="dxa" w:w="100"/>
              <w:right w:type="dxa" w:w="120"/>
            </w:tcMar>
            <w:vAlign w:val="center"/>
          </w:tcPr>
          <w:p>
            <w:r>
              <w:rPr>
                <w:b w:val="false"/>
                <w:bCs w:val="false"/>
                <w:color w:val="222222"/>
                <w:sz w:val="19"/>
                <w:szCs w:val="19"/>
              </w:rPr>
              <w:t xml:space="preserve">Star ratings, pending/awaiting_selection state</w:t>
            </w:r>
          </w:p>
        </w:tc>
        <w:tc>
          <w:tcPr>
            <w:tcW w:type="dxa" w:w="3200"/>
            <w:tcMar>
              <w:top w:type="dxa" w:w="100"/>
              <w:left w:type="dxa" w:w="120"/>
              <w:bottom w:type="dxa" w:w="100"/>
              <w:right w:type="dxa" w:w="120"/>
            </w:tcMar>
            <w:vAlign w:val="center"/>
          </w:tcPr>
          <w:p>
            <w:r>
              <w:rPr>
                <w:b w:val="false"/>
                <w:bCs w:val="false"/>
                <w:color w:val="222222"/>
                <w:sz w:val="19"/>
                <w:szCs w:val="19"/>
              </w:rPr>
              <w:t xml:space="preserve">#FFB627</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Danger</w:t>
            </w:r>
          </w:p>
        </w:tc>
        <w:tc>
          <w:tcPr>
            <w:tcW w:type="dxa" w:w="3600"/>
            <w:tcMar>
              <w:top w:type="dxa" w:w="100"/>
              <w:left w:type="dxa" w:w="120"/>
              <w:bottom w:type="dxa" w:w="100"/>
              <w:right w:type="dxa" w:w="120"/>
            </w:tcMar>
            <w:vAlign w:val="center"/>
          </w:tcPr>
          <w:p>
            <w:r>
              <w:rPr>
                <w:b w:val="false"/>
                <w:bCs w:val="false"/>
                <w:color w:val="222222"/>
                <w:sz w:val="19"/>
                <w:szCs w:val="19"/>
              </w:rPr>
              <w:t xml:space="preserve">Errors, rejected/blocked shop states, cancel actions</w:t>
            </w:r>
          </w:p>
        </w:tc>
        <w:tc>
          <w:tcPr>
            <w:tcW w:type="dxa" w:w="3200"/>
            <w:tcMar>
              <w:top w:type="dxa" w:w="100"/>
              <w:left w:type="dxa" w:w="120"/>
              <w:bottom w:type="dxa" w:w="100"/>
              <w:right w:type="dxa" w:w="120"/>
            </w:tcMar>
            <w:vAlign w:val="center"/>
          </w:tcPr>
          <w:p>
            <w:r>
              <w:rPr>
                <w:b w:val="false"/>
                <w:bCs w:val="false"/>
                <w:color w:val="222222"/>
                <w:sz w:val="19"/>
                <w:szCs w:val="19"/>
              </w:rPr>
              <w:t xml:space="preserve">#E5484D</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Text primary</w:t>
            </w:r>
          </w:p>
        </w:tc>
        <w:tc>
          <w:tcPr>
            <w:tcW w:type="dxa" w:w="3600"/>
            <w:tcMar>
              <w:top w:type="dxa" w:w="100"/>
              <w:left w:type="dxa" w:w="120"/>
              <w:bottom w:type="dxa" w:w="100"/>
              <w:right w:type="dxa" w:w="120"/>
            </w:tcMar>
            <w:vAlign w:val="center"/>
          </w:tcPr>
          <w:p>
            <w:r>
              <w:rPr>
                <w:b w:val="false"/>
                <w:bCs w:val="false"/>
                <w:color w:val="222222"/>
                <w:sz w:val="19"/>
                <w:szCs w:val="19"/>
              </w:rPr>
              <w:t xml:space="preserve">Body copy on light backgrounds</w:t>
            </w:r>
          </w:p>
        </w:tc>
        <w:tc>
          <w:tcPr>
            <w:tcW w:type="dxa" w:w="3200"/>
            <w:tcMar>
              <w:top w:type="dxa" w:w="100"/>
              <w:left w:type="dxa" w:w="120"/>
              <w:bottom w:type="dxa" w:w="100"/>
              <w:right w:type="dxa" w:w="120"/>
            </w:tcMar>
            <w:vAlign w:val="center"/>
          </w:tcPr>
          <w:p>
            <w:r>
              <w:rPr>
                <w:b w:val="false"/>
                <w:bCs w:val="false"/>
                <w:color w:val="222222"/>
                <w:sz w:val="19"/>
                <w:szCs w:val="19"/>
              </w:rPr>
              <w:t xml:space="preserve">#14213D (Gray 900)</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Text secondary</w:t>
            </w:r>
          </w:p>
        </w:tc>
        <w:tc>
          <w:tcPr>
            <w:tcW w:type="dxa" w:w="3600"/>
            <w:tcMar>
              <w:top w:type="dxa" w:w="100"/>
              <w:left w:type="dxa" w:w="120"/>
              <w:bottom w:type="dxa" w:w="100"/>
              <w:right w:type="dxa" w:w="120"/>
            </w:tcMar>
            <w:vAlign w:val="center"/>
          </w:tcPr>
          <w:p>
            <w:r>
              <w:rPr>
                <w:b w:val="false"/>
                <w:bCs w:val="false"/>
                <w:color w:val="222222"/>
                <w:sz w:val="19"/>
                <w:szCs w:val="19"/>
              </w:rPr>
              <w:t xml:space="preserve">Captions, timestamps, helper text</w:t>
            </w:r>
          </w:p>
        </w:tc>
        <w:tc>
          <w:tcPr>
            <w:tcW w:type="dxa" w:w="3200"/>
            <w:tcMar>
              <w:top w:type="dxa" w:w="100"/>
              <w:left w:type="dxa" w:w="120"/>
              <w:bottom w:type="dxa" w:w="100"/>
              <w:right w:type="dxa" w:w="120"/>
            </w:tcMar>
            <w:vAlign w:val="center"/>
          </w:tcPr>
          <w:p>
            <w:r>
              <w:rPr>
                <w:b w:val="false"/>
                <w:bCs w:val="false"/>
                <w:color w:val="222222"/>
                <w:sz w:val="19"/>
                <w:szCs w:val="19"/>
              </w:rPr>
              <w:t xml:space="preserve">#5B6472 (Gray 600)</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Border</w:t>
            </w:r>
          </w:p>
        </w:tc>
        <w:tc>
          <w:tcPr>
            <w:tcW w:type="dxa" w:w="3600"/>
            <w:tcMar>
              <w:top w:type="dxa" w:w="100"/>
              <w:left w:type="dxa" w:w="120"/>
              <w:bottom w:type="dxa" w:w="100"/>
              <w:right w:type="dxa" w:w="120"/>
            </w:tcMar>
            <w:vAlign w:val="center"/>
          </w:tcPr>
          <w:p>
            <w:r>
              <w:rPr>
                <w:b w:val="false"/>
                <w:bCs w:val="false"/>
                <w:color w:val="222222"/>
                <w:sz w:val="19"/>
                <w:szCs w:val="19"/>
              </w:rPr>
              <w:t xml:space="preserve">Dividers, input borders, card outlines</w:t>
            </w:r>
          </w:p>
        </w:tc>
        <w:tc>
          <w:tcPr>
            <w:tcW w:type="dxa" w:w="3200"/>
            <w:tcMar>
              <w:top w:type="dxa" w:w="100"/>
              <w:left w:type="dxa" w:w="120"/>
              <w:bottom w:type="dxa" w:w="100"/>
              <w:right w:type="dxa" w:w="120"/>
            </w:tcMar>
            <w:vAlign w:val="center"/>
          </w:tcPr>
          <w:p>
            <w:r>
              <w:rPr>
                <w:b w:val="false"/>
                <w:bCs w:val="false"/>
                <w:color w:val="222222"/>
                <w:sz w:val="19"/>
                <w:szCs w:val="19"/>
              </w:rPr>
              <w:t xml:space="preserve">#D8DCE3 (Gray 300)</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Surface</w:t>
            </w:r>
          </w:p>
        </w:tc>
        <w:tc>
          <w:tcPr>
            <w:tcW w:type="dxa" w:w="3600"/>
            <w:tcMar>
              <w:top w:type="dxa" w:w="100"/>
              <w:left w:type="dxa" w:w="120"/>
              <w:bottom w:type="dxa" w:w="100"/>
              <w:right w:type="dxa" w:w="120"/>
            </w:tcMar>
            <w:vAlign w:val="center"/>
          </w:tcPr>
          <w:p>
            <w:r>
              <w:rPr>
                <w:b w:val="false"/>
                <w:bCs w:val="false"/>
                <w:color w:val="222222"/>
                <w:sz w:val="19"/>
                <w:szCs w:val="19"/>
              </w:rPr>
              <w:t xml:space="preserve">Page/card background</w:t>
            </w:r>
          </w:p>
        </w:tc>
        <w:tc>
          <w:tcPr>
            <w:tcW w:type="dxa" w:w="3200"/>
            <w:tcMar>
              <w:top w:type="dxa" w:w="100"/>
              <w:left w:type="dxa" w:w="120"/>
              <w:bottom w:type="dxa" w:w="100"/>
              <w:right w:type="dxa" w:w="120"/>
            </w:tcMar>
            <w:vAlign w:val="center"/>
          </w:tcPr>
          <w:p>
            <w:r>
              <w:rPr>
                <w:b w:val="false"/>
                <w:bCs w:val="false"/>
                <w:color w:val="222222"/>
                <w:sz w:val="19"/>
                <w:szCs w:val="19"/>
              </w:rPr>
              <w:t xml:space="preserve">#F4F5F7 (Gray 100) / #FFFFFF</w:t>
            </w:r>
          </w:p>
        </w:tc>
      </w:tr>
    </w:tbl>
    <w:p>
      <w:pPr>
        <w:pStyle w:val="Heading2"/>
        <w:spacing w:after="150" w:before="300"/>
      </w:pPr>
      <w:r>
        <w:rPr>
          <w:b/>
          <w:bCs/>
          <w:color w:val="1B2A4A"/>
        </w:rPr>
        <w:t xml:space="preserve">3.3 — Per-surface accent mapping</w:t>
      </w:r>
    </w:p>
    <w:p>
      <w:pPr>
        <w:spacing w:after="160"/>
      </w:pPr>
      <w:r>
        <w:rPr>
          <w:color w:val="222222"/>
          <w:sz w:val="21"/>
          <w:szCs w:val="21"/>
        </w:rPr>
        <w:t xml:space="preserve">All three surfaces share the same palette (one design system, per Section 6.1 of the Master Build Document) but each leads with a different accent so a screenshot alone tells you which surface you're looking at:</w:t>
      </w:r>
    </w:p>
    <w:p>
      <w:pPr>
        <w:pStyle w:val="ListParagraph"/>
        <w:numPr>
          <w:ilvl w:val="0"/>
          <w:numId w:val="2"/>
        </w:numPr>
        <w:spacing w:after="90"/>
      </w:pPr>
      <w:r>
        <w:rPr>
          <w:color w:val="222222"/>
          <w:sz w:val="21"/>
          <w:szCs w:val="21"/>
        </w:rPr>
        <w:t xml:space="preserve">Customer app (/app/*): Orange-forward — primary color drives every CTA (broadcast, select, submit feedback).</w:t>
      </w:r>
    </w:p>
    <w:p>
      <w:pPr>
        <w:pStyle w:val="ListParagraph"/>
        <w:numPr>
          <w:ilvl w:val="0"/>
          <w:numId w:val="2"/>
        </w:numPr>
        <w:spacing w:after="90"/>
      </w:pPr>
      <w:r>
        <w:rPr>
          <w:color w:val="222222"/>
          <w:sz w:val="21"/>
          <w:szCs w:val="21"/>
        </w:rPr>
        <w:t xml:space="preserve">Shop dashboard (/shop/*): Teal-forward — Signal Teal replaces orange as the dominant accent on nav/active states, keeping orange reserved for the Yes/No response buttons only, so the one action that matters is never visually competing with chrome.</w:t>
      </w:r>
    </w:p>
    <w:p>
      <w:pPr>
        <w:pStyle w:val="ListParagraph"/>
        <w:numPr>
          <w:ilvl w:val="0"/>
          <w:numId w:val="2"/>
        </w:numPr>
        <w:spacing w:after="90"/>
      </w:pPr>
      <w:r>
        <w:rPr>
          <w:color w:val="222222"/>
          <w:sz w:val="21"/>
          <w:szCs w:val="21"/>
        </w:rPr>
        <w:t xml:space="preserve">Admin console (/admin/*): Navy-forward — Ink Navy leads (nav, headers), orange is used sparingly for destructive/attention actions (block, suspend, reject) so it reads as a deliberate warning color in this surface rather than a routine CTA color.</w:t>
      </w:r>
    </w:p>
    <w:p>
      <w:pPr>
        <w:pStyle w:val="Heading2"/>
        <w:spacing w:after="150" w:before="300"/>
      </w:pPr>
      <w:r>
        <w:rPr>
          <w:b/>
          <w:bCs/>
          <w:color w:val="1B2A4A"/>
        </w:rPr>
        <w:t xml:space="preserve">3.4 — Accessibility</w:t>
      </w:r>
    </w:p>
    <w:p>
      <w:pPr>
        <w:spacing w:after="160"/>
      </w:pPr>
      <w:r>
        <w:rPr>
          <w:color w:val="222222"/>
          <w:sz w:val="21"/>
          <w:szCs w:val="21"/>
        </w:rPr>
        <w:t xml:space="preserve">NEARBY Orange (#FF5A36) on white passes WCAG AA for large text/UI components (3:1) but not for small body text (4.5:1) — use Gray 900 for body copy and reserve orange for buttons, icons, and large headings. White text on Orange, Navy, and Teal backgrounds all pass AA for normal text.</w:t>
      </w:r>
    </w:p>
    <w:p>
      <w:pPr>
        <w:pStyle w:val="Heading1"/>
        <w:pBdr>
          <w:bottom w:val="single" w:color="FF5A36" w:sz="6" w:space="6"/>
        </w:pBdr>
        <w:spacing w:after="200" w:before="400"/>
      </w:pPr>
      <w:r>
        <w:rPr>
          <w:b/>
          <w:bCs/>
          <w:color w:val="1B2A4A"/>
        </w:rPr>
        <w:t xml:space="preserve">4. Typography</w:t>
      </w:r>
    </w:p>
    <w:p>
      <w:pPr>
        <w:pStyle w:val="Heading2"/>
        <w:spacing w:after="150" w:before="300"/>
      </w:pPr>
      <w:r>
        <w:rPr>
          <w:b/>
          <w:bCs/>
          <w:color w:val="1B2A4A"/>
        </w:rPr>
        <w:t xml:space="preserve">4.1 — Typeface</w:t>
      </w:r>
    </w:p>
    <w:p>
      <w:pPr>
        <w:spacing w:after="160"/>
      </w:pPr>
      <w:r>
        <w:rPr>
          <w:color w:val="222222"/>
          <w:sz w:val="21"/>
          <w:szCs w:val="21"/>
        </w:rPr>
        <w:t xml:space="preserve">Inter — free, open-source (SIL OFL), variable font, designed specifically for UI legibility at small sizes on screens. It covers the Latin character set needed for the pilot locality and adds zero licensing cost, consistent with the rest of the stack.</w:t>
      </w:r>
    </w:p>
    <w:p>
      <w:pPr>
        <w:shd w:fill="1E1E2E" w:val="clear"/>
        <w:spacing w:after="60"/>
      </w:pPr>
      <w:r>
        <w:rPr>
          <w:rFonts w:ascii="Consolas" w:cs="Consolas" w:eastAsia="Consolas" w:hAnsi="Consolas"/>
          <w:color w:val="D4D4D4"/>
          <w:sz w:val="18"/>
          <w:szCs w:val="18"/>
        </w:rPr>
        <w:t xml:space="preserve">font-family: "Inter", -apple-system, BlinkMacSystemFont, "Segoe UI", Roboto, sans-serif;</w:t>
      </w:r>
    </w:p>
    <w:p>
      <w:pPr>
        <w:spacing w:after="160"/>
      </w:pPr>
      <w:r>
        <w:rPr>
          <w:color w:val="222222"/>
          <w:sz w:val="21"/>
          <w:szCs w:val="21"/>
        </w:rPr>
        <w:t xml:space="preserve">The system-font fallback chain means text renders correctly and instantly even before the Inter font file finishes loading over Render/Netlify's free-tier CDN — no invisible-text flash.</w:t>
      </w:r>
    </w:p>
    <w:p>
      <w:pPr>
        <w:pStyle w:val="Heading2"/>
        <w:spacing w:after="150" w:before="300"/>
      </w:pPr>
      <w:r>
        <w:rPr>
          <w:b/>
          <w:bCs/>
          <w:color w:val="1B2A4A"/>
        </w:rPr>
        <w:t xml:space="preserve">4.2 — Scale</w:t>
      </w:r>
    </w:p>
    <w:tbl>
      <w:tblPr>
        <w:tblW w:type="dxa" w:w="9400"/>
        <w:tblBorders>
          <w:top w:val="single" w:color="D8DCE3" w:sz="4"/>
          <w:left w:val="single" w:color="D8DCE3" w:sz="4"/>
          <w:bottom w:val="single" w:color="D8DCE3" w:sz="4"/>
          <w:right w:val="single" w:color="D8DCE3" w:sz="4"/>
          <w:insideH w:val="single" w:color="D8DCE3" w:sz="4"/>
          <w:insideV w:val="single" w:color="D8DCE3" w:sz="4"/>
        </w:tblBorders>
      </w:tblPr>
      <w:tblGrid>
        <w:gridCol w:w="2400"/>
        <w:gridCol w:w="2200"/>
        <w:gridCol w:w="2200"/>
        <w:gridCol w:w="2600"/>
      </w:tblGrid>
      <w:tr>
        <w:tc>
          <w:tcPr>
            <w:tcW w:type="dxa" w:w="2400"/>
            <w:shd w:fill="F4F5F7" w:val="clear"/>
            <w:tcMar>
              <w:top w:type="dxa" w:w="100"/>
              <w:left w:type="dxa" w:w="120"/>
              <w:bottom w:type="dxa" w:w="100"/>
              <w:right w:type="dxa" w:w="120"/>
            </w:tcMar>
            <w:vAlign w:val="center"/>
          </w:tcPr>
          <w:p>
            <w:r>
              <w:rPr>
                <w:b/>
                <w:bCs/>
                <w:color w:val="222222"/>
                <w:sz w:val="19"/>
                <w:szCs w:val="19"/>
              </w:rPr>
              <w:t xml:space="preserve">Role</w:t>
            </w:r>
          </w:p>
        </w:tc>
        <w:tc>
          <w:tcPr>
            <w:tcW w:type="dxa" w:w="2200"/>
            <w:shd w:fill="F4F5F7" w:val="clear"/>
            <w:tcMar>
              <w:top w:type="dxa" w:w="100"/>
              <w:left w:type="dxa" w:w="120"/>
              <w:bottom w:type="dxa" w:w="100"/>
              <w:right w:type="dxa" w:w="120"/>
            </w:tcMar>
            <w:vAlign w:val="center"/>
          </w:tcPr>
          <w:p>
            <w:r>
              <w:rPr>
                <w:b/>
                <w:bCs/>
                <w:color w:val="222222"/>
                <w:sz w:val="19"/>
                <w:szCs w:val="19"/>
              </w:rPr>
              <w:t xml:space="preserve">Size / line-height</w:t>
            </w:r>
          </w:p>
        </w:tc>
        <w:tc>
          <w:tcPr>
            <w:tcW w:type="dxa" w:w="2200"/>
            <w:shd w:fill="F4F5F7" w:val="clear"/>
            <w:tcMar>
              <w:top w:type="dxa" w:w="100"/>
              <w:left w:type="dxa" w:w="120"/>
              <w:bottom w:type="dxa" w:w="100"/>
              <w:right w:type="dxa" w:w="120"/>
            </w:tcMar>
            <w:vAlign w:val="center"/>
          </w:tcPr>
          <w:p>
            <w:r>
              <w:rPr>
                <w:b/>
                <w:bCs/>
                <w:color w:val="222222"/>
                <w:sz w:val="19"/>
                <w:szCs w:val="19"/>
              </w:rPr>
              <w:t xml:space="preserve">Weight</w:t>
            </w:r>
          </w:p>
        </w:tc>
        <w:tc>
          <w:tcPr>
            <w:tcW w:type="dxa" w:w="2600"/>
            <w:shd w:fill="F4F5F7" w:val="clear"/>
            <w:tcMar>
              <w:top w:type="dxa" w:w="100"/>
              <w:left w:type="dxa" w:w="120"/>
              <w:bottom w:type="dxa" w:w="100"/>
              <w:right w:type="dxa" w:w="120"/>
            </w:tcMar>
            <w:vAlign w:val="center"/>
          </w:tcPr>
          <w:p>
            <w:r>
              <w:rPr>
                <w:b/>
                <w:bCs/>
                <w:color w:val="222222"/>
                <w:sz w:val="19"/>
                <w:szCs w:val="19"/>
              </w:rPr>
              <w:t xml:space="preserve">Used for</w:t>
            </w:r>
          </w:p>
        </w:tc>
      </w:tr>
      <w:tr>
        <w:tc>
          <w:tcPr>
            <w:tcW w:type="dxa" w:w="2400"/>
            <w:tcMar>
              <w:top w:type="dxa" w:w="100"/>
              <w:left w:type="dxa" w:w="120"/>
              <w:bottom w:type="dxa" w:w="100"/>
              <w:right w:type="dxa" w:w="120"/>
            </w:tcMar>
            <w:vAlign w:val="center"/>
          </w:tcPr>
          <w:p>
            <w:r>
              <w:rPr>
                <w:b w:val="false"/>
                <w:bCs w:val="false"/>
                <w:color w:val="222222"/>
                <w:sz w:val="19"/>
                <w:szCs w:val="19"/>
              </w:rPr>
              <w:t xml:space="preserve">Display</w:t>
            </w:r>
          </w:p>
        </w:tc>
        <w:tc>
          <w:tcPr>
            <w:tcW w:type="dxa" w:w="2200"/>
            <w:tcMar>
              <w:top w:type="dxa" w:w="100"/>
              <w:left w:type="dxa" w:w="120"/>
              <w:bottom w:type="dxa" w:w="100"/>
              <w:right w:type="dxa" w:w="120"/>
            </w:tcMar>
            <w:vAlign w:val="center"/>
          </w:tcPr>
          <w:p>
            <w:r>
              <w:rPr>
                <w:b w:val="false"/>
                <w:bCs w:val="false"/>
                <w:color w:val="222222"/>
                <w:sz w:val="19"/>
                <w:szCs w:val="19"/>
              </w:rPr>
              <w:t xml:space="preserve">32px / 40px</w:t>
            </w:r>
          </w:p>
        </w:tc>
        <w:tc>
          <w:tcPr>
            <w:tcW w:type="dxa" w:w="2200"/>
            <w:tcMar>
              <w:top w:type="dxa" w:w="100"/>
              <w:left w:type="dxa" w:w="120"/>
              <w:bottom w:type="dxa" w:w="100"/>
              <w:right w:type="dxa" w:w="120"/>
            </w:tcMar>
            <w:vAlign w:val="center"/>
          </w:tcPr>
          <w:p>
            <w:r>
              <w:rPr>
                <w:b w:val="false"/>
                <w:bCs w:val="false"/>
                <w:color w:val="222222"/>
                <w:sz w:val="19"/>
                <w:szCs w:val="19"/>
              </w:rPr>
              <w:t xml:space="preserve">700 Bold</w:t>
            </w:r>
          </w:p>
        </w:tc>
        <w:tc>
          <w:tcPr>
            <w:tcW w:type="dxa" w:w="2600"/>
            <w:tcMar>
              <w:top w:type="dxa" w:w="100"/>
              <w:left w:type="dxa" w:w="120"/>
              <w:bottom w:type="dxa" w:w="100"/>
              <w:right w:type="dxa" w:w="120"/>
            </w:tcMar>
            <w:vAlign w:val="center"/>
          </w:tcPr>
          <w:p>
            <w:r>
              <w:rPr>
                <w:b w:val="false"/>
                <w:bCs w:val="false"/>
                <w:color w:val="222222"/>
                <w:sz w:val="19"/>
                <w:szCs w:val="19"/>
              </w:rPr>
              <w:t xml:space="preserve">Screen titles (rare — mobile-first layout)</w:t>
            </w:r>
          </w:p>
        </w:tc>
      </w:tr>
      <w:tr>
        <w:tc>
          <w:tcPr>
            <w:tcW w:type="dxa" w:w="2400"/>
            <w:tcMar>
              <w:top w:type="dxa" w:w="100"/>
              <w:left w:type="dxa" w:w="120"/>
              <w:bottom w:type="dxa" w:w="100"/>
              <w:right w:type="dxa" w:w="120"/>
            </w:tcMar>
            <w:vAlign w:val="center"/>
          </w:tcPr>
          <w:p>
            <w:r>
              <w:rPr>
                <w:b w:val="false"/>
                <w:bCs w:val="false"/>
                <w:color w:val="222222"/>
                <w:sz w:val="19"/>
                <w:szCs w:val="19"/>
              </w:rPr>
              <w:t xml:space="preserve">H1</w:t>
            </w:r>
          </w:p>
        </w:tc>
        <w:tc>
          <w:tcPr>
            <w:tcW w:type="dxa" w:w="2200"/>
            <w:tcMar>
              <w:top w:type="dxa" w:w="100"/>
              <w:left w:type="dxa" w:w="120"/>
              <w:bottom w:type="dxa" w:w="100"/>
              <w:right w:type="dxa" w:w="120"/>
            </w:tcMar>
            <w:vAlign w:val="center"/>
          </w:tcPr>
          <w:p>
            <w:r>
              <w:rPr>
                <w:b w:val="false"/>
                <w:bCs w:val="false"/>
                <w:color w:val="222222"/>
                <w:sz w:val="19"/>
                <w:szCs w:val="19"/>
              </w:rPr>
              <w:t xml:space="preserve">24px / 32px</w:t>
            </w:r>
          </w:p>
        </w:tc>
        <w:tc>
          <w:tcPr>
            <w:tcW w:type="dxa" w:w="2200"/>
            <w:tcMar>
              <w:top w:type="dxa" w:w="100"/>
              <w:left w:type="dxa" w:w="120"/>
              <w:bottom w:type="dxa" w:w="100"/>
              <w:right w:type="dxa" w:w="120"/>
            </w:tcMar>
            <w:vAlign w:val="center"/>
          </w:tcPr>
          <w:p>
            <w:r>
              <w:rPr>
                <w:b w:val="false"/>
                <w:bCs w:val="false"/>
                <w:color w:val="222222"/>
                <w:sz w:val="19"/>
                <w:szCs w:val="19"/>
              </w:rPr>
              <w:t xml:space="preserve">600 SemiBold</w:t>
            </w:r>
          </w:p>
        </w:tc>
        <w:tc>
          <w:tcPr>
            <w:tcW w:type="dxa" w:w="2600"/>
            <w:tcMar>
              <w:top w:type="dxa" w:w="100"/>
              <w:left w:type="dxa" w:w="120"/>
              <w:bottom w:type="dxa" w:w="100"/>
              <w:right w:type="dxa" w:w="120"/>
            </w:tcMar>
            <w:vAlign w:val="center"/>
          </w:tcPr>
          <w:p>
            <w:r>
              <w:rPr>
                <w:b w:val="false"/>
                <w:bCs w:val="false"/>
                <w:color w:val="222222"/>
                <w:sz w:val="19"/>
                <w:szCs w:val="19"/>
              </w:rPr>
              <w:t xml:space="preserve">Page/section headers</w:t>
            </w:r>
          </w:p>
        </w:tc>
      </w:tr>
      <w:tr>
        <w:tc>
          <w:tcPr>
            <w:tcW w:type="dxa" w:w="2400"/>
            <w:tcMar>
              <w:top w:type="dxa" w:w="100"/>
              <w:left w:type="dxa" w:w="120"/>
              <w:bottom w:type="dxa" w:w="100"/>
              <w:right w:type="dxa" w:w="120"/>
            </w:tcMar>
            <w:vAlign w:val="center"/>
          </w:tcPr>
          <w:p>
            <w:r>
              <w:rPr>
                <w:b w:val="false"/>
                <w:bCs w:val="false"/>
                <w:color w:val="222222"/>
                <w:sz w:val="19"/>
                <w:szCs w:val="19"/>
              </w:rPr>
              <w:t xml:space="preserve">H2</w:t>
            </w:r>
          </w:p>
        </w:tc>
        <w:tc>
          <w:tcPr>
            <w:tcW w:type="dxa" w:w="2200"/>
            <w:tcMar>
              <w:top w:type="dxa" w:w="100"/>
              <w:left w:type="dxa" w:w="120"/>
              <w:bottom w:type="dxa" w:w="100"/>
              <w:right w:type="dxa" w:w="120"/>
            </w:tcMar>
            <w:vAlign w:val="center"/>
          </w:tcPr>
          <w:p>
            <w:r>
              <w:rPr>
                <w:b w:val="false"/>
                <w:bCs w:val="false"/>
                <w:color w:val="222222"/>
                <w:sz w:val="19"/>
                <w:szCs w:val="19"/>
              </w:rPr>
              <w:t xml:space="preserve">18px / 26px</w:t>
            </w:r>
          </w:p>
        </w:tc>
        <w:tc>
          <w:tcPr>
            <w:tcW w:type="dxa" w:w="2200"/>
            <w:tcMar>
              <w:top w:type="dxa" w:w="100"/>
              <w:left w:type="dxa" w:w="120"/>
              <w:bottom w:type="dxa" w:w="100"/>
              <w:right w:type="dxa" w:w="120"/>
            </w:tcMar>
            <w:vAlign w:val="center"/>
          </w:tcPr>
          <w:p>
            <w:r>
              <w:rPr>
                <w:b w:val="false"/>
                <w:bCs w:val="false"/>
                <w:color w:val="222222"/>
                <w:sz w:val="19"/>
                <w:szCs w:val="19"/>
              </w:rPr>
              <w:t xml:space="preserve">600 SemiBold</w:t>
            </w:r>
          </w:p>
        </w:tc>
        <w:tc>
          <w:tcPr>
            <w:tcW w:type="dxa" w:w="2600"/>
            <w:tcMar>
              <w:top w:type="dxa" w:w="100"/>
              <w:left w:type="dxa" w:w="120"/>
              <w:bottom w:type="dxa" w:w="100"/>
              <w:right w:type="dxa" w:w="120"/>
            </w:tcMar>
            <w:vAlign w:val="center"/>
          </w:tcPr>
          <w:p>
            <w:r>
              <w:rPr>
                <w:b w:val="false"/>
                <w:bCs w:val="false"/>
                <w:color w:val="222222"/>
                <w:sz w:val="19"/>
                <w:szCs w:val="19"/>
              </w:rPr>
              <w:t xml:space="preserve">Card headers, shop names</w:t>
            </w:r>
          </w:p>
        </w:tc>
      </w:tr>
      <w:tr>
        <w:tc>
          <w:tcPr>
            <w:tcW w:type="dxa" w:w="2400"/>
            <w:tcMar>
              <w:top w:type="dxa" w:w="100"/>
              <w:left w:type="dxa" w:w="120"/>
              <w:bottom w:type="dxa" w:w="100"/>
              <w:right w:type="dxa" w:w="120"/>
            </w:tcMar>
            <w:vAlign w:val="center"/>
          </w:tcPr>
          <w:p>
            <w:r>
              <w:rPr>
                <w:b w:val="false"/>
                <w:bCs w:val="false"/>
                <w:color w:val="222222"/>
                <w:sz w:val="19"/>
                <w:szCs w:val="19"/>
              </w:rPr>
              <w:t xml:space="preserve">Body</w:t>
            </w:r>
          </w:p>
        </w:tc>
        <w:tc>
          <w:tcPr>
            <w:tcW w:type="dxa" w:w="2200"/>
            <w:tcMar>
              <w:top w:type="dxa" w:w="100"/>
              <w:left w:type="dxa" w:w="120"/>
              <w:bottom w:type="dxa" w:w="100"/>
              <w:right w:type="dxa" w:w="120"/>
            </w:tcMar>
            <w:vAlign w:val="center"/>
          </w:tcPr>
          <w:p>
            <w:r>
              <w:rPr>
                <w:b w:val="false"/>
                <w:bCs w:val="false"/>
                <w:color w:val="222222"/>
                <w:sz w:val="19"/>
                <w:szCs w:val="19"/>
              </w:rPr>
              <w:t xml:space="preserve">15px / 22px</w:t>
            </w:r>
          </w:p>
        </w:tc>
        <w:tc>
          <w:tcPr>
            <w:tcW w:type="dxa" w:w="2200"/>
            <w:tcMar>
              <w:top w:type="dxa" w:w="100"/>
              <w:left w:type="dxa" w:w="120"/>
              <w:bottom w:type="dxa" w:w="100"/>
              <w:right w:type="dxa" w:w="120"/>
            </w:tcMar>
            <w:vAlign w:val="center"/>
          </w:tcPr>
          <w:p>
            <w:r>
              <w:rPr>
                <w:b w:val="false"/>
                <w:bCs w:val="false"/>
                <w:color w:val="222222"/>
                <w:sz w:val="19"/>
                <w:szCs w:val="19"/>
              </w:rPr>
              <w:t xml:space="preserve">400 Regular</w:t>
            </w:r>
          </w:p>
        </w:tc>
        <w:tc>
          <w:tcPr>
            <w:tcW w:type="dxa" w:w="2600"/>
            <w:tcMar>
              <w:top w:type="dxa" w:w="100"/>
              <w:left w:type="dxa" w:w="120"/>
              <w:bottom w:type="dxa" w:w="100"/>
              <w:right w:type="dxa" w:w="120"/>
            </w:tcMar>
            <w:vAlign w:val="center"/>
          </w:tcPr>
          <w:p>
            <w:r>
              <w:rPr>
                <w:b w:val="false"/>
                <w:bCs w:val="false"/>
                <w:color w:val="222222"/>
                <w:sz w:val="19"/>
                <w:szCs w:val="19"/>
              </w:rPr>
              <w:t xml:space="preserve">Default copy</w:t>
            </w:r>
          </w:p>
        </w:tc>
      </w:tr>
      <w:tr>
        <w:tc>
          <w:tcPr>
            <w:tcW w:type="dxa" w:w="2400"/>
            <w:tcMar>
              <w:top w:type="dxa" w:w="100"/>
              <w:left w:type="dxa" w:w="120"/>
              <w:bottom w:type="dxa" w:w="100"/>
              <w:right w:type="dxa" w:w="120"/>
            </w:tcMar>
            <w:vAlign w:val="center"/>
          </w:tcPr>
          <w:p>
            <w:r>
              <w:rPr>
                <w:b w:val="false"/>
                <w:bCs w:val="false"/>
                <w:color w:val="222222"/>
                <w:sz w:val="19"/>
                <w:szCs w:val="19"/>
              </w:rPr>
              <w:t xml:space="preserve">Caption</w:t>
            </w:r>
          </w:p>
        </w:tc>
        <w:tc>
          <w:tcPr>
            <w:tcW w:type="dxa" w:w="2200"/>
            <w:tcMar>
              <w:top w:type="dxa" w:w="100"/>
              <w:left w:type="dxa" w:w="120"/>
              <w:bottom w:type="dxa" w:w="100"/>
              <w:right w:type="dxa" w:w="120"/>
            </w:tcMar>
            <w:vAlign w:val="center"/>
          </w:tcPr>
          <w:p>
            <w:r>
              <w:rPr>
                <w:b w:val="false"/>
                <w:bCs w:val="false"/>
                <w:color w:val="222222"/>
                <w:sz w:val="19"/>
                <w:szCs w:val="19"/>
              </w:rPr>
              <w:t xml:space="preserve">13px / 18px</w:t>
            </w:r>
          </w:p>
        </w:tc>
        <w:tc>
          <w:tcPr>
            <w:tcW w:type="dxa" w:w="2200"/>
            <w:tcMar>
              <w:top w:type="dxa" w:w="100"/>
              <w:left w:type="dxa" w:w="120"/>
              <w:bottom w:type="dxa" w:w="100"/>
              <w:right w:type="dxa" w:w="120"/>
            </w:tcMar>
            <w:vAlign w:val="center"/>
          </w:tcPr>
          <w:p>
            <w:r>
              <w:rPr>
                <w:b w:val="false"/>
                <w:bCs w:val="false"/>
                <w:color w:val="222222"/>
                <w:sz w:val="19"/>
                <w:szCs w:val="19"/>
              </w:rPr>
              <w:t xml:space="preserve">400 Regular</w:t>
            </w:r>
          </w:p>
        </w:tc>
        <w:tc>
          <w:tcPr>
            <w:tcW w:type="dxa" w:w="2600"/>
            <w:tcMar>
              <w:top w:type="dxa" w:w="100"/>
              <w:left w:type="dxa" w:w="120"/>
              <w:bottom w:type="dxa" w:w="100"/>
              <w:right w:type="dxa" w:w="120"/>
            </w:tcMar>
            <w:vAlign w:val="center"/>
          </w:tcPr>
          <w:p>
            <w:r>
              <w:rPr>
                <w:b w:val="false"/>
                <w:bCs w:val="false"/>
                <w:color w:val="222222"/>
                <w:sz w:val="19"/>
                <w:szCs w:val="19"/>
              </w:rPr>
              <w:t xml:space="preserve">Timestamps, helper text, distances</w:t>
            </w:r>
          </w:p>
        </w:tc>
      </w:tr>
      <w:tr>
        <w:tc>
          <w:tcPr>
            <w:tcW w:type="dxa" w:w="2400"/>
            <w:tcMar>
              <w:top w:type="dxa" w:w="100"/>
              <w:left w:type="dxa" w:w="120"/>
              <w:bottom w:type="dxa" w:w="100"/>
              <w:right w:type="dxa" w:w="120"/>
            </w:tcMar>
            <w:vAlign w:val="center"/>
          </w:tcPr>
          <w:p>
            <w:r>
              <w:rPr>
                <w:b w:val="false"/>
                <w:bCs w:val="false"/>
                <w:color w:val="222222"/>
                <w:sz w:val="19"/>
                <w:szCs w:val="19"/>
              </w:rPr>
              <w:t xml:space="preserve">Button</w:t>
            </w:r>
          </w:p>
        </w:tc>
        <w:tc>
          <w:tcPr>
            <w:tcW w:type="dxa" w:w="2200"/>
            <w:tcMar>
              <w:top w:type="dxa" w:w="100"/>
              <w:left w:type="dxa" w:w="120"/>
              <w:bottom w:type="dxa" w:w="100"/>
              <w:right w:type="dxa" w:w="120"/>
            </w:tcMar>
            <w:vAlign w:val="center"/>
          </w:tcPr>
          <w:p>
            <w:r>
              <w:rPr>
                <w:b w:val="false"/>
                <w:bCs w:val="false"/>
                <w:color w:val="222222"/>
                <w:sz w:val="19"/>
                <w:szCs w:val="19"/>
              </w:rPr>
              <w:t xml:space="preserve">15px / 20px</w:t>
            </w:r>
          </w:p>
        </w:tc>
        <w:tc>
          <w:tcPr>
            <w:tcW w:type="dxa" w:w="2200"/>
            <w:tcMar>
              <w:top w:type="dxa" w:w="100"/>
              <w:left w:type="dxa" w:w="120"/>
              <w:bottom w:type="dxa" w:w="100"/>
              <w:right w:type="dxa" w:w="120"/>
            </w:tcMar>
            <w:vAlign w:val="center"/>
          </w:tcPr>
          <w:p>
            <w:r>
              <w:rPr>
                <w:b w:val="false"/>
                <w:bCs w:val="false"/>
                <w:color w:val="222222"/>
                <w:sz w:val="19"/>
                <w:szCs w:val="19"/>
              </w:rPr>
              <w:t xml:space="preserve">600 SemiBold</w:t>
            </w:r>
          </w:p>
        </w:tc>
        <w:tc>
          <w:tcPr>
            <w:tcW w:type="dxa" w:w="2600"/>
            <w:tcMar>
              <w:top w:type="dxa" w:w="100"/>
              <w:left w:type="dxa" w:w="120"/>
              <w:bottom w:type="dxa" w:w="100"/>
              <w:right w:type="dxa" w:w="120"/>
            </w:tcMar>
            <w:vAlign w:val="center"/>
          </w:tcPr>
          <w:p>
            <w:r>
              <w:rPr>
                <w:b w:val="false"/>
                <w:bCs w:val="false"/>
                <w:color w:val="222222"/>
                <w:sz w:val="19"/>
                <w:szCs w:val="19"/>
              </w:rPr>
              <w:t xml:space="preserve">All button labels</w:t>
            </w:r>
          </w:p>
        </w:tc>
      </w:tr>
    </w:tbl>
    <w:p>
      <w:pPr>
        <w:pStyle w:val="Heading1"/>
        <w:pBdr>
          <w:bottom w:val="single" w:color="FF5A36" w:sz="6" w:space="6"/>
        </w:pBdr>
        <w:spacing w:after="200" w:before="400"/>
      </w:pPr>
      <w:r>
        <w:rPr>
          <w:b/>
          <w:bCs/>
          <w:color w:val="1B2A4A"/>
        </w:rPr>
        <w:t xml:space="preserve">5. PWA Manifest</w:t>
      </w:r>
    </w:p>
    <w:p>
      <w:pPr>
        <w:pStyle w:val="Heading2"/>
        <w:spacing w:after="150" w:before="300"/>
      </w:pPr>
      <w:r>
        <w:rPr>
          <w:b/>
          <w:bCs/>
          <w:color w:val="1B2A4A"/>
        </w:rPr>
        <w:t xml:space="preserve">5.1 — manifest.json</w:t>
      </w:r>
    </w:p>
    <w:p>
      <w:pPr>
        <w:spacing w:after="160"/>
      </w:pPr>
      <w:r>
        <w:rPr>
          <w:color w:val="222222"/>
          <w:sz w:val="21"/>
          <w:szCs w:val="21"/>
        </w:rPr>
        <w:t xml:space="preserve">Delivered as a standalone file (manifest.json, Section 7). Field-by-field:</w:t>
      </w:r>
    </w:p>
    <w:tbl>
      <w:tblPr>
        <w:tblW w:type="dxa" w:w="9400"/>
        <w:tblBorders>
          <w:top w:val="single" w:color="D8DCE3" w:sz="4"/>
          <w:left w:val="single" w:color="D8DCE3" w:sz="4"/>
          <w:bottom w:val="single" w:color="D8DCE3" w:sz="4"/>
          <w:right w:val="single" w:color="D8DCE3" w:sz="4"/>
          <w:insideH w:val="single" w:color="D8DCE3" w:sz="4"/>
          <w:insideV w:val="single" w:color="D8DCE3" w:sz="4"/>
        </w:tblBorders>
      </w:tblPr>
      <w:tblGrid>
        <w:gridCol w:w="2200"/>
        <w:gridCol w:w="7200"/>
      </w:tblGrid>
      <w:tr>
        <w:tc>
          <w:tcPr>
            <w:tcW w:type="dxa" w:w="2200"/>
            <w:shd w:fill="F4F5F7" w:val="clear"/>
            <w:tcMar>
              <w:top w:type="dxa" w:w="100"/>
              <w:left w:type="dxa" w:w="120"/>
              <w:bottom w:type="dxa" w:w="100"/>
              <w:right w:type="dxa" w:w="120"/>
            </w:tcMar>
            <w:vAlign w:val="center"/>
          </w:tcPr>
          <w:p>
            <w:r>
              <w:rPr>
                <w:b/>
                <w:bCs/>
                <w:color w:val="222222"/>
                <w:sz w:val="19"/>
                <w:szCs w:val="19"/>
              </w:rPr>
              <w:t xml:space="preserve">Field</w:t>
            </w:r>
          </w:p>
        </w:tc>
        <w:tc>
          <w:tcPr>
            <w:tcW w:type="dxa" w:w="7200"/>
            <w:shd w:fill="F4F5F7" w:val="clear"/>
            <w:tcMar>
              <w:top w:type="dxa" w:w="100"/>
              <w:left w:type="dxa" w:w="120"/>
              <w:bottom w:type="dxa" w:w="100"/>
              <w:right w:type="dxa" w:w="120"/>
            </w:tcMar>
            <w:vAlign w:val="center"/>
          </w:tcPr>
          <w:p>
            <w:r>
              <w:rPr>
                <w:b/>
                <w:bCs/>
                <w:color w:val="222222"/>
                <w:sz w:val="19"/>
                <w:szCs w:val="19"/>
              </w:rPr>
              <w:t xml:space="preserve">Value / rationale</w:t>
            </w:r>
          </w:p>
        </w:tc>
      </w:tr>
      <w:tr>
        <w:tc>
          <w:tcPr>
            <w:tcW w:type="dxa" w:w="2200"/>
            <w:tcMar>
              <w:top w:type="dxa" w:w="100"/>
              <w:left w:type="dxa" w:w="120"/>
              <w:bottom w:type="dxa" w:w="100"/>
              <w:right w:type="dxa" w:w="120"/>
            </w:tcMar>
            <w:vAlign w:val="center"/>
          </w:tcPr>
          <w:p>
            <w:r>
              <w:rPr>
                <w:b w:val="false"/>
                <w:bCs w:val="false"/>
                <w:color w:val="222222"/>
                <w:sz w:val="19"/>
                <w:szCs w:val="19"/>
              </w:rPr>
              <w:t xml:space="preserve">name</w:t>
            </w:r>
          </w:p>
        </w:tc>
        <w:tc>
          <w:tcPr>
            <w:tcW w:type="dxa" w:w="7200"/>
            <w:tcMar>
              <w:top w:type="dxa" w:w="100"/>
              <w:left w:type="dxa" w:w="120"/>
              <w:bottom w:type="dxa" w:w="100"/>
              <w:right w:type="dxa" w:w="120"/>
            </w:tcMar>
            <w:vAlign w:val="center"/>
          </w:tcPr>
          <w:p>
            <w:r>
              <w:rPr>
                <w:b w:val="false"/>
                <w:bCs w:val="false"/>
                <w:color w:val="222222"/>
                <w:sz w:val="19"/>
                <w:szCs w:val="19"/>
              </w:rPr>
              <w:t xml:space="preserve">“NEARBY — Ask Around, Instantly” — shown on the install prompt and app-switcher on larger screens</w:t>
            </w:r>
          </w:p>
        </w:tc>
      </w:tr>
      <w:tr>
        <w:tc>
          <w:tcPr>
            <w:tcW w:type="dxa" w:w="2200"/>
            <w:tcMar>
              <w:top w:type="dxa" w:w="100"/>
              <w:left w:type="dxa" w:w="120"/>
              <w:bottom w:type="dxa" w:w="100"/>
              <w:right w:type="dxa" w:w="120"/>
            </w:tcMar>
            <w:vAlign w:val="center"/>
          </w:tcPr>
          <w:p>
            <w:r>
              <w:rPr>
                <w:b w:val="false"/>
                <w:bCs w:val="false"/>
                <w:color w:val="222222"/>
                <w:sz w:val="19"/>
                <w:szCs w:val="19"/>
              </w:rPr>
              <w:t xml:space="preserve">short_name</w:t>
            </w:r>
          </w:p>
        </w:tc>
        <w:tc>
          <w:tcPr>
            <w:tcW w:type="dxa" w:w="7200"/>
            <w:tcMar>
              <w:top w:type="dxa" w:w="100"/>
              <w:left w:type="dxa" w:w="120"/>
              <w:bottom w:type="dxa" w:w="100"/>
              <w:right w:type="dxa" w:w="120"/>
            </w:tcMar>
            <w:vAlign w:val="center"/>
          </w:tcPr>
          <w:p>
            <w:r>
              <w:rPr>
                <w:b w:val="false"/>
                <w:bCs w:val="false"/>
                <w:color w:val="222222"/>
                <w:sz w:val="19"/>
                <w:szCs w:val="19"/>
              </w:rPr>
              <w:t xml:space="preserve">“NEARBY” — shown under the home-screen icon, where space is tight</w:t>
            </w:r>
          </w:p>
        </w:tc>
      </w:tr>
      <w:tr>
        <w:tc>
          <w:tcPr>
            <w:tcW w:type="dxa" w:w="2200"/>
            <w:tcMar>
              <w:top w:type="dxa" w:w="100"/>
              <w:left w:type="dxa" w:w="120"/>
              <w:bottom w:type="dxa" w:w="100"/>
              <w:right w:type="dxa" w:w="120"/>
            </w:tcMar>
            <w:vAlign w:val="center"/>
          </w:tcPr>
          <w:p>
            <w:r>
              <w:rPr>
                <w:b w:val="false"/>
                <w:bCs w:val="false"/>
                <w:color w:val="222222"/>
                <w:sz w:val="19"/>
                <w:szCs w:val="19"/>
              </w:rPr>
              <w:t xml:space="preserve">start_url</w:t>
            </w:r>
          </w:p>
        </w:tc>
        <w:tc>
          <w:tcPr>
            <w:tcW w:type="dxa" w:w="7200"/>
            <w:tcMar>
              <w:top w:type="dxa" w:w="100"/>
              <w:left w:type="dxa" w:w="120"/>
              <w:bottom w:type="dxa" w:w="100"/>
              <w:right w:type="dxa" w:w="120"/>
            </w:tcMar>
            <w:vAlign w:val="center"/>
          </w:tcPr>
          <w:p>
            <w:r>
              <w:rPr>
                <w:b w:val="false"/>
                <w:bCs w:val="false"/>
                <w:color w:val="222222"/>
                <w:sz w:val="19"/>
                <w:szCs w:val="19"/>
              </w:rPr>
              <w:t xml:space="preserve">“/?source=pwa” — lets analytics distinguish installed-app opens from browser visits at no extra cost</w:t>
            </w:r>
          </w:p>
        </w:tc>
      </w:tr>
      <w:tr>
        <w:tc>
          <w:tcPr>
            <w:tcW w:type="dxa" w:w="2200"/>
            <w:tcMar>
              <w:top w:type="dxa" w:w="100"/>
              <w:left w:type="dxa" w:w="120"/>
              <w:bottom w:type="dxa" w:w="100"/>
              <w:right w:type="dxa" w:w="120"/>
            </w:tcMar>
            <w:vAlign w:val="center"/>
          </w:tcPr>
          <w:p>
            <w:r>
              <w:rPr>
                <w:b w:val="false"/>
                <w:bCs w:val="false"/>
                <w:color w:val="222222"/>
                <w:sz w:val="19"/>
                <w:szCs w:val="19"/>
              </w:rPr>
              <w:t xml:space="preserve">display</w:t>
            </w:r>
          </w:p>
        </w:tc>
        <w:tc>
          <w:tcPr>
            <w:tcW w:type="dxa" w:w="7200"/>
            <w:tcMar>
              <w:top w:type="dxa" w:w="100"/>
              <w:left w:type="dxa" w:w="120"/>
              <w:bottom w:type="dxa" w:w="100"/>
              <w:right w:type="dxa" w:w="120"/>
            </w:tcMar>
            <w:vAlign w:val="center"/>
          </w:tcPr>
          <w:p>
            <w:r>
              <w:rPr>
                <w:b w:val="false"/>
                <w:bCs w:val="false"/>
                <w:color w:val="222222"/>
                <w:sz w:val="19"/>
                <w:szCs w:val="19"/>
              </w:rPr>
              <w:t xml:space="preserve">“standalone” — hides the browser chrome for an app-like feel on all three surfaces</w:t>
            </w:r>
          </w:p>
        </w:tc>
      </w:tr>
      <w:tr>
        <w:tc>
          <w:tcPr>
            <w:tcW w:type="dxa" w:w="2200"/>
            <w:tcMar>
              <w:top w:type="dxa" w:w="100"/>
              <w:left w:type="dxa" w:w="120"/>
              <w:bottom w:type="dxa" w:w="100"/>
              <w:right w:type="dxa" w:w="120"/>
            </w:tcMar>
            <w:vAlign w:val="center"/>
          </w:tcPr>
          <w:p>
            <w:r>
              <w:rPr>
                <w:b w:val="false"/>
                <w:bCs w:val="false"/>
                <w:color w:val="222222"/>
                <w:sz w:val="19"/>
                <w:szCs w:val="19"/>
              </w:rPr>
              <w:t xml:space="preserve">theme_color</w:t>
            </w:r>
          </w:p>
        </w:tc>
        <w:tc>
          <w:tcPr>
            <w:tcW w:type="dxa" w:w="7200"/>
            <w:tcMar>
              <w:top w:type="dxa" w:w="100"/>
              <w:left w:type="dxa" w:w="120"/>
              <w:bottom w:type="dxa" w:w="100"/>
              <w:right w:type="dxa" w:w="120"/>
            </w:tcMar>
            <w:vAlign w:val="center"/>
          </w:tcPr>
          <w:p>
            <w:r>
              <w:rPr>
                <w:b w:val="false"/>
                <w:bCs w:val="false"/>
                <w:color w:val="222222"/>
                <w:sz w:val="19"/>
                <w:szCs w:val="19"/>
              </w:rPr>
              <w:t xml:space="preserve">#FF5A36 — colors the OS status bar / task switcher strip</w:t>
            </w:r>
          </w:p>
        </w:tc>
      </w:tr>
      <w:tr>
        <w:tc>
          <w:tcPr>
            <w:tcW w:type="dxa" w:w="2200"/>
            <w:tcMar>
              <w:top w:type="dxa" w:w="100"/>
              <w:left w:type="dxa" w:w="120"/>
              <w:bottom w:type="dxa" w:w="100"/>
              <w:right w:type="dxa" w:w="120"/>
            </w:tcMar>
            <w:vAlign w:val="center"/>
          </w:tcPr>
          <w:p>
            <w:r>
              <w:rPr>
                <w:b w:val="false"/>
                <w:bCs w:val="false"/>
                <w:color w:val="222222"/>
                <w:sz w:val="19"/>
                <w:szCs w:val="19"/>
              </w:rPr>
              <w:t xml:space="preserve">background_color</w:t>
            </w:r>
          </w:p>
        </w:tc>
        <w:tc>
          <w:tcPr>
            <w:tcW w:type="dxa" w:w="7200"/>
            <w:tcMar>
              <w:top w:type="dxa" w:w="100"/>
              <w:left w:type="dxa" w:w="120"/>
              <w:bottom w:type="dxa" w:w="100"/>
              <w:right w:type="dxa" w:w="120"/>
            </w:tcMar>
            <w:vAlign w:val="center"/>
          </w:tcPr>
          <w:p>
            <w:r>
              <w:rPr>
                <w:b w:val="false"/>
                <w:bCs w:val="false"/>
                <w:color w:val="222222"/>
                <w:sz w:val="19"/>
                <w:szCs w:val="19"/>
              </w:rPr>
              <w:t xml:space="preserve">#FFFFFF — shown briefly on cold start before CSS loads</w:t>
            </w:r>
          </w:p>
        </w:tc>
      </w:tr>
      <w:tr>
        <w:tc>
          <w:tcPr>
            <w:tcW w:type="dxa" w:w="2200"/>
            <w:tcMar>
              <w:top w:type="dxa" w:w="100"/>
              <w:left w:type="dxa" w:w="120"/>
              <w:bottom w:type="dxa" w:w="100"/>
              <w:right w:type="dxa" w:w="120"/>
            </w:tcMar>
            <w:vAlign w:val="center"/>
          </w:tcPr>
          <w:p>
            <w:r>
              <w:rPr>
                <w:b w:val="false"/>
                <w:bCs w:val="false"/>
                <w:color w:val="222222"/>
                <w:sz w:val="19"/>
                <w:szCs w:val="19"/>
              </w:rPr>
              <w:t xml:space="preserve">icons</w:t>
            </w:r>
          </w:p>
        </w:tc>
        <w:tc>
          <w:tcPr>
            <w:tcW w:type="dxa" w:w="7200"/>
            <w:tcMar>
              <w:top w:type="dxa" w:w="100"/>
              <w:left w:type="dxa" w:w="120"/>
              <w:bottom w:type="dxa" w:w="100"/>
              <w:right w:type="dxa" w:w="120"/>
            </w:tcMar>
            <w:vAlign w:val="center"/>
          </w:tcPr>
          <w:p>
            <w:r>
              <w:rPr>
                <w:b w:val="false"/>
                <w:bCs w:val="false"/>
                <w:color w:val="222222"/>
                <w:sz w:val="19"/>
                <w:szCs w:val="19"/>
              </w:rPr>
              <w:t xml:space="preserve">11 entries spanning 48–512px, including dedicated 192/512 maskable entries (Section 5.2)</w:t>
            </w:r>
          </w:p>
        </w:tc>
      </w:tr>
      <w:tr>
        <w:tc>
          <w:tcPr>
            <w:tcW w:type="dxa" w:w="2200"/>
            <w:tcMar>
              <w:top w:type="dxa" w:w="100"/>
              <w:left w:type="dxa" w:w="120"/>
              <w:bottom w:type="dxa" w:w="100"/>
              <w:right w:type="dxa" w:w="120"/>
            </w:tcMar>
            <w:vAlign w:val="center"/>
          </w:tcPr>
          <w:p>
            <w:r>
              <w:rPr>
                <w:b w:val="false"/>
                <w:bCs w:val="false"/>
                <w:color w:val="222222"/>
                <w:sz w:val="19"/>
                <w:szCs w:val="19"/>
              </w:rPr>
              <w:t xml:space="preserve">shortcuts</w:t>
            </w:r>
          </w:p>
        </w:tc>
        <w:tc>
          <w:tcPr>
            <w:tcW w:type="dxa" w:w="7200"/>
            <w:tcMar>
              <w:top w:type="dxa" w:w="100"/>
              <w:left w:type="dxa" w:w="120"/>
              <w:bottom w:type="dxa" w:w="100"/>
              <w:right w:type="dxa" w:w="120"/>
            </w:tcMar>
            <w:vAlign w:val="center"/>
          </w:tcPr>
          <w:p>
            <w:r>
              <w:rPr>
                <w:b w:val="false"/>
                <w:bCs w:val="false"/>
                <w:color w:val="222222"/>
                <w:sz w:val="19"/>
                <w:szCs w:val="19"/>
              </w:rPr>
              <w:t xml:space="preserve">Long-press/right-click app icon shortcuts to “Broadcast a search” and “Shop dashboard” — zero-cost engagement win once installed</w:t>
            </w:r>
          </w:p>
        </w:tc>
      </w:tr>
    </w:tbl>
    <w:p>
      <w:pPr>
        <w:pStyle w:val="Heading2"/>
        <w:spacing w:after="150" w:before="300"/>
      </w:pPr>
      <w:r>
        <w:rPr>
          <w:b/>
          <w:bCs/>
          <w:color w:val="1B2A4A"/>
        </w:rPr>
        <w:t xml:space="preserve">5.2 — Icon size checklist</w:t>
      </w:r>
    </w:p>
    <w:tbl>
      <w:tblPr>
        <w:tblW w:type="dxa" w:w="9400"/>
        <w:tblBorders>
          <w:top w:val="single" w:color="D8DCE3" w:sz="4"/>
          <w:left w:val="single" w:color="D8DCE3" w:sz="4"/>
          <w:bottom w:val="single" w:color="D8DCE3" w:sz="4"/>
          <w:right w:val="single" w:color="D8DCE3" w:sz="4"/>
          <w:insideH w:val="single" w:color="D8DCE3" w:sz="4"/>
          <w:insideV w:val="single" w:color="D8DCE3" w:sz="4"/>
        </w:tblBorders>
      </w:tblPr>
      <w:tblGrid>
        <w:gridCol w:w="2600"/>
        <w:gridCol w:w="2600"/>
        <w:gridCol w:w="2600"/>
        <w:gridCol w:w="1600"/>
      </w:tblGrid>
      <w:tr>
        <w:tc>
          <w:tcPr>
            <w:tcW w:type="dxa" w:w="2600"/>
            <w:shd w:fill="F4F5F7" w:val="clear"/>
            <w:tcMar>
              <w:top w:type="dxa" w:w="100"/>
              <w:left w:type="dxa" w:w="120"/>
              <w:bottom w:type="dxa" w:w="100"/>
              <w:right w:type="dxa" w:w="120"/>
            </w:tcMar>
            <w:vAlign w:val="center"/>
          </w:tcPr>
          <w:p>
            <w:r>
              <w:rPr>
                <w:b/>
                <w:bCs/>
                <w:color w:val="222222"/>
                <w:sz w:val="19"/>
                <w:szCs w:val="19"/>
              </w:rPr>
              <w:t xml:space="preserve">File</w:t>
            </w:r>
          </w:p>
        </w:tc>
        <w:tc>
          <w:tcPr>
            <w:tcW w:type="dxa" w:w="2600"/>
            <w:shd w:fill="F4F5F7" w:val="clear"/>
            <w:tcMar>
              <w:top w:type="dxa" w:w="100"/>
              <w:left w:type="dxa" w:w="120"/>
              <w:bottom w:type="dxa" w:w="100"/>
              <w:right w:type="dxa" w:w="120"/>
            </w:tcMar>
            <w:vAlign w:val="center"/>
          </w:tcPr>
          <w:p>
            <w:r>
              <w:rPr>
                <w:b/>
                <w:bCs/>
                <w:color w:val="222222"/>
                <w:sz w:val="19"/>
                <w:szCs w:val="19"/>
              </w:rPr>
              <w:t xml:space="preserve">Size</w:t>
            </w:r>
          </w:p>
        </w:tc>
        <w:tc>
          <w:tcPr>
            <w:tcW w:type="dxa" w:w="2600"/>
            <w:shd w:fill="F4F5F7" w:val="clear"/>
            <w:tcMar>
              <w:top w:type="dxa" w:w="100"/>
              <w:left w:type="dxa" w:w="120"/>
              <w:bottom w:type="dxa" w:w="100"/>
              <w:right w:type="dxa" w:w="120"/>
            </w:tcMar>
            <w:vAlign w:val="center"/>
          </w:tcPr>
          <w:p>
            <w:r>
              <w:rPr>
                <w:b/>
                <w:bCs/>
                <w:color w:val="222222"/>
                <w:sz w:val="19"/>
                <w:szCs w:val="19"/>
              </w:rPr>
              <w:t xml:space="preserve">Purpose</w:t>
            </w:r>
          </w:p>
        </w:tc>
        <w:tc>
          <w:tcPr>
            <w:tcW w:type="dxa" w:w="1600"/>
            <w:shd w:fill="F4F5F7" w:val="clear"/>
            <w:tcMar>
              <w:top w:type="dxa" w:w="100"/>
              <w:left w:type="dxa" w:w="120"/>
              <w:bottom w:type="dxa" w:w="100"/>
              <w:right w:type="dxa" w:w="120"/>
            </w:tcMar>
            <w:vAlign w:val="center"/>
          </w:tcPr>
          <w:p>
            <w:r>
              <w:rPr>
                <w:b/>
                <w:bCs/>
                <w:color w:val="222222"/>
                <w:sz w:val="19"/>
                <w:szCs w:val="19"/>
              </w:rPr>
              <w:t xml:space="preserve">Required?</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icon-512.png</w:t>
            </w:r>
          </w:p>
        </w:tc>
        <w:tc>
          <w:tcPr>
            <w:tcW w:type="dxa" w:w="2600"/>
            <w:tcMar>
              <w:top w:type="dxa" w:w="100"/>
              <w:left w:type="dxa" w:w="120"/>
              <w:bottom w:type="dxa" w:w="100"/>
              <w:right w:type="dxa" w:w="120"/>
            </w:tcMar>
            <w:vAlign w:val="center"/>
          </w:tcPr>
          <w:p>
            <w:r>
              <w:rPr>
                <w:b w:val="false"/>
                <w:bCs w:val="false"/>
                <w:color w:val="222222"/>
                <w:sz w:val="19"/>
                <w:szCs w:val="19"/>
              </w:rPr>
              <w:t xml:space="preserve">512×512</w:t>
            </w:r>
          </w:p>
        </w:tc>
        <w:tc>
          <w:tcPr>
            <w:tcW w:type="dxa" w:w="2600"/>
            <w:tcMar>
              <w:top w:type="dxa" w:w="100"/>
              <w:left w:type="dxa" w:w="120"/>
              <w:bottom w:type="dxa" w:w="100"/>
              <w:right w:type="dxa" w:w="120"/>
            </w:tcMar>
            <w:vAlign w:val="center"/>
          </w:tcPr>
          <w:p>
            <w:r>
              <w:rPr>
                <w:b w:val="false"/>
                <w:bCs w:val="false"/>
                <w:color w:val="222222"/>
                <w:sz w:val="19"/>
                <w:szCs w:val="19"/>
              </w:rPr>
              <w:t xml:space="preserve">any — install prompt, splash generation</w:t>
            </w:r>
          </w:p>
        </w:tc>
        <w:tc>
          <w:tcPr>
            <w:tcW w:type="dxa" w:w="1600"/>
            <w:tcMar>
              <w:top w:type="dxa" w:w="100"/>
              <w:left w:type="dxa" w:w="120"/>
              <w:bottom w:type="dxa" w:w="100"/>
              <w:right w:type="dxa" w:w="120"/>
            </w:tcMar>
            <w:vAlign w:val="center"/>
          </w:tcPr>
          <w:p>
            <w:r>
              <w:rPr>
                <w:b w:val="false"/>
                <w:bCs w:val="false"/>
                <w:color w:val="222222"/>
                <w:sz w:val="19"/>
                <w:szCs w:val="19"/>
              </w:rPr>
              <w:t xml:space="preserve">Yes</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icon-384.png</w:t>
            </w:r>
          </w:p>
        </w:tc>
        <w:tc>
          <w:tcPr>
            <w:tcW w:type="dxa" w:w="2600"/>
            <w:tcMar>
              <w:top w:type="dxa" w:w="100"/>
              <w:left w:type="dxa" w:w="120"/>
              <w:bottom w:type="dxa" w:w="100"/>
              <w:right w:type="dxa" w:w="120"/>
            </w:tcMar>
            <w:vAlign w:val="center"/>
          </w:tcPr>
          <w:p>
            <w:r>
              <w:rPr>
                <w:b w:val="false"/>
                <w:bCs w:val="false"/>
                <w:color w:val="222222"/>
                <w:sz w:val="19"/>
                <w:szCs w:val="19"/>
              </w:rPr>
              <w:t xml:space="preserve">384×384</w:t>
            </w:r>
          </w:p>
        </w:tc>
        <w:tc>
          <w:tcPr>
            <w:tcW w:type="dxa" w:w="2600"/>
            <w:tcMar>
              <w:top w:type="dxa" w:w="100"/>
              <w:left w:type="dxa" w:w="120"/>
              <w:bottom w:type="dxa" w:w="100"/>
              <w:right w:type="dxa" w:w="120"/>
            </w:tcMar>
            <w:vAlign w:val="center"/>
          </w:tcPr>
          <w:p>
            <w:r>
              <w:rPr>
                <w:b w:val="false"/>
                <w:bCs w:val="false"/>
                <w:color w:val="222222"/>
                <w:sz w:val="19"/>
                <w:szCs w:val="19"/>
              </w:rPr>
              <w:t xml:space="preserve">any</w:t>
            </w:r>
          </w:p>
        </w:tc>
        <w:tc>
          <w:tcPr>
            <w:tcW w:type="dxa" w:w="1600"/>
            <w:tcMar>
              <w:top w:type="dxa" w:w="100"/>
              <w:left w:type="dxa" w:w="120"/>
              <w:bottom w:type="dxa" w:w="100"/>
              <w:right w:type="dxa" w:w="120"/>
            </w:tcMar>
            <w:vAlign w:val="center"/>
          </w:tcPr>
          <w:p>
            <w:r>
              <w:rPr>
                <w:b w:val="false"/>
                <w:bCs w:val="false"/>
                <w:color w:val="222222"/>
                <w:sz w:val="19"/>
                <w:szCs w:val="19"/>
              </w:rPr>
              <w:t xml:space="preserve">Recommended</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icon-192.png</w:t>
            </w:r>
          </w:p>
        </w:tc>
        <w:tc>
          <w:tcPr>
            <w:tcW w:type="dxa" w:w="2600"/>
            <w:tcMar>
              <w:top w:type="dxa" w:w="100"/>
              <w:left w:type="dxa" w:w="120"/>
              <w:bottom w:type="dxa" w:w="100"/>
              <w:right w:type="dxa" w:w="120"/>
            </w:tcMar>
            <w:vAlign w:val="center"/>
          </w:tcPr>
          <w:p>
            <w:r>
              <w:rPr>
                <w:b w:val="false"/>
                <w:bCs w:val="false"/>
                <w:color w:val="222222"/>
                <w:sz w:val="19"/>
                <w:szCs w:val="19"/>
              </w:rPr>
              <w:t xml:space="preserve">192×192</w:t>
            </w:r>
          </w:p>
        </w:tc>
        <w:tc>
          <w:tcPr>
            <w:tcW w:type="dxa" w:w="2600"/>
            <w:tcMar>
              <w:top w:type="dxa" w:w="100"/>
              <w:left w:type="dxa" w:w="120"/>
              <w:bottom w:type="dxa" w:w="100"/>
              <w:right w:type="dxa" w:w="120"/>
            </w:tcMar>
            <w:vAlign w:val="center"/>
          </w:tcPr>
          <w:p>
            <w:r>
              <w:rPr>
                <w:b w:val="false"/>
                <w:bCs w:val="false"/>
                <w:color w:val="222222"/>
                <w:sz w:val="19"/>
                <w:szCs w:val="19"/>
              </w:rPr>
              <w:t xml:space="preserve">any — Android home screen</w:t>
            </w:r>
          </w:p>
        </w:tc>
        <w:tc>
          <w:tcPr>
            <w:tcW w:type="dxa" w:w="1600"/>
            <w:tcMar>
              <w:top w:type="dxa" w:w="100"/>
              <w:left w:type="dxa" w:w="120"/>
              <w:bottom w:type="dxa" w:w="100"/>
              <w:right w:type="dxa" w:w="120"/>
            </w:tcMar>
            <w:vAlign w:val="center"/>
          </w:tcPr>
          <w:p>
            <w:r>
              <w:rPr>
                <w:b w:val="false"/>
                <w:bCs w:val="false"/>
                <w:color w:val="222222"/>
                <w:sz w:val="19"/>
                <w:szCs w:val="19"/>
              </w:rPr>
              <w:t xml:space="preserve">Yes</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icon-maskable-512.png</w:t>
            </w:r>
          </w:p>
        </w:tc>
        <w:tc>
          <w:tcPr>
            <w:tcW w:type="dxa" w:w="2600"/>
            <w:tcMar>
              <w:top w:type="dxa" w:w="100"/>
              <w:left w:type="dxa" w:w="120"/>
              <w:bottom w:type="dxa" w:w="100"/>
              <w:right w:type="dxa" w:w="120"/>
            </w:tcMar>
            <w:vAlign w:val="center"/>
          </w:tcPr>
          <w:p>
            <w:r>
              <w:rPr>
                <w:b w:val="false"/>
                <w:bCs w:val="false"/>
                <w:color w:val="222222"/>
                <w:sz w:val="19"/>
                <w:szCs w:val="19"/>
              </w:rPr>
              <w:t xml:space="preserve">512×512</w:t>
            </w:r>
          </w:p>
        </w:tc>
        <w:tc>
          <w:tcPr>
            <w:tcW w:type="dxa" w:w="2600"/>
            <w:tcMar>
              <w:top w:type="dxa" w:w="100"/>
              <w:left w:type="dxa" w:w="120"/>
              <w:bottom w:type="dxa" w:w="100"/>
              <w:right w:type="dxa" w:w="120"/>
            </w:tcMar>
            <w:vAlign w:val="center"/>
          </w:tcPr>
          <w:p>
            <w:r>
              <w:rPr>
                <w:b w:val="false"/>
                <w:bCs w:val="false"/>
                <w:color w:val="222222"/>
                <w:sz w:val="19"/>
                <w:szCs w:val="19"/>
              </w:rPr>
              <w:t xml:space="preserve">maskable — adaptive icon safe zone</w:t>
            </w:r>
          </w:p>
        </w:tc>
        <w:tc>
          <w:tcPr>
            <w:tcW w:type="dxa" w:w="1600"/>
            <w:tcMar>
              <w:top w:type="dxa" w:w="100"/>
              <w:left w:type="dxa" w:w="120"/>
              <w:bottom w:type="dxa" w:w="100"/>
              <w:right w:type="dxa" w:w="120"/>
            </w:tcMar>
            <w:vAlign w:val="center"/>
          </w:tcPr>
          <w:p>
            <w:r>
              <w:rPr>
                <w:b w:val="false"/>
                <w:bCs w:val="false"/>
                <w:color w:val="222222"/>
                <w:sz w:val="19"/>
                <w:szCs w:val="19"/>
              </w:rPr>
              <w:t xml:space="preserve">Yes</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icon-maskable-192.png</w:t>
            </w:r>
          </w:p>
        </w:tc>
        <w:tc>
          <w:tcPr>
            <w:tcW w:type="dxa" w:w="2600"/>
            <w:tcMar>
              <w:top w:type="dxa" w:w="100"/>
              <w:left w:type="dxa" w:w="120"/>
              <w:bottom w:type="dxa" w:w="100"/>
              <w:right w:type="dxa" w:w="120"/>
            </w:tcMar>
            <w:vAlign w:val="center"/>
          </w:tcPr>
          <w:p>
            <w:r>
              <w:rPr>
                <w:b w:val="false"/>
                <w:bCs w:val="false"/>
                <w:color w:val="222222"/>
                <w:sz w:val="19"/>
                <w:szCs w:val="19"/>
              </w:rPr>
              <w:t xml:space="preserve">192×192</w:t>
            </w:r>
          </w:p>
        </w:tc>
        <w:tc>
          <w:tcPr>
            <w:tcW w:type="dxa" w:w="2600"/>
            <w:tcMar>
              <w:top w:type="dxa" w:w="100"/>
              <w:left w:type="dxa" w:w="120"/>
              <w:bottom w:type="dxa" w:w="100"/>
              <w:right w:type="dxa" w:w="120"/>
            </w:tcMar>
            <w:vAlign w:val="center"/>
          </w:tcPr>
          <w:p>
            <w:r>
              <w:rPr>
                <w:b w:val="false"/>
                <w:bCs w:val="false"/>
                <w:color w:val="222222"/>
                <w:sz w:val="19"/>
                <w:szCs w:val="19"/>
              </w:rPr>
              <w:t xml:space="preserve">maskable</w:t>
            </w:r>
          </w:p>
        </w:tc>
        <w:tc>
          <w:tcPr>
            <w:tcW w:type="dxa" w:w="1600"/>
            <w:tcMar>
              <w:top w:type="dxa" w:w="100"/>
              <w:left w:type="dxa" w:w="120"/>
              <w:bottom w:type="dxa" w:w="100"/>
              <w:right w:type="dxa" w:w="120"/>
            </w:tcMar>
            <w:vAlign w:val="center"/>
          </w:tcPr>
          <w:p>
            <w:r>
              <w:rPr>
                <w:b w:val="false"/>
                <w:bCs w:val="false"/>
                <w:color w:val="222222"/>
                <w:sz w:val="19"/>
                <w:szCs w:val="19"/>
              </w:rPr>
              <w:t xml:space="preserve">Yes</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icon-152 / 144 / 128 / 96 / 72 / 48.png</w:t>
            </w:r>
          </w:p>
        </w:tc>
        <w:tc>
          <w:tcPr>
            <w:tcW w:type="dxa" w:w="2600"/>
            <w:tcMar>
              <w:top w:type="dxa" w:w="100"/>
              <w:left w:type="dxa" w:w="120"/>
              <w:bottom w:type="dxa" w:w="100"/>
              <w:right w:type="dxa" w:w="120"/>
            </w:tcMar>
            <w:vAlign w:val="center"/>
          </w:tcPr>
          <w:p>
            <w:r>
              <w:rPr>
                <w:b w:val="false"/>
                <w:bCs w:val="false"/>
                <w:color w:val="222222"/>
                <w:sz w:val="19"/>
                <w:szCs w:val="19"/>
              </w:rPr>
              <w:t xml:space="preserve">various</w:t>
            </w:r>
          </w:p>
        </w:tc>
        <w:tc>
          <w:tcPr>
            <w:tcW w:type="dxa" w:w="2600"/>
            <w:tcMar>
              <w:top w:type="dxa" w:w="100"/>
              <w:left w:type="dxa" w:w="120"/>
              <w:bottom w:type="dxa" w:w="100"/>
              <w:right w:type="dxa" w:w="120"/>
            </w:tcMar>
            <w:vAlign w:val="center"/>
          </w:tcPr>
          <w:p>
            <w:r>
              <w:rPr>
                <w:b w:val="false"/>
                <w:bCs w:val="false"/>
                <w:color w:val="222222"/>
                <w:sz w:val="19"/>
                <w:szCs w:val="19"/>
              </w:rPr>
              <w:t xml:space="preserve">any — legacy Android/Chrome densities</w:t>
            </w:r>
          </w:p>
        </w:tc>
        <w:tc>
          <w:tcPr>
            <w:tcW w:type="dxa" w:w="1600"/>
            <w:tcMar>
              <w:top w:type="dxa" w:w="100"/>
              <w:left w:type="dxa" w:w="120"/>
              <w:bottom w:type="dxa" w:w="100"/>
              <w:right w:type="dxa" w:w="120"/>
            </w:tcMar>
            <w:vAlign w:val="center"/>
          </w:tcPr>
          <w:p>
            <w:r>
              <w:rPr>
                <w:b w:val="false"/>
                <w:bCs w:val="false"/>
                <w:color w:val="222222"/>
                <w:sz w:val="19"/>
                <w:szCs w:val="19"/>
              </w:rPr>
              <w:t xml:space="preserve">Nice-to-have</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apple-touch-icon-180.png</w:t>
            </w:r>
          </w:p>
        </w:tc>
        <w:tc>
          <w:tcPr>
            <w:tcW w:type="dxa" w:w="2600"/>
            <w:tcMar>
              <w:top w:type="dxa" w:w="100"/>
              <w:left w:type="dxa" w:w="120"/>
              <w:bottom w:type="dxa" w:w="100"/>
              <w:right w:type="dxa" w:w="120"/>
            </w:tcMar>
            <w:vAlign w:val="center"/>
          </w:tcPr>
          <w:p>
            <w:r>
              <w:rPr>
                <w:b w:val="false"/>
                <w:bCs w:val="false"/>
                <w:color w:val="222222"/>
                <w:sz w:val="19"/>
                <w:szCs w:val="19"/>
              </w:rPr>
              <w:t xml:space="preserve">180×180</w:t>
            </w:r>
          </w:p>
        </w:tc>
        <w:tc>
          <w:tcPr>
            <w:tcW w:type="dxa" w:w="2600"/>
            <w:tcMar>
              <w:top w:type="dxa" w:w="100"/>
              <w:left w:type="dxa" w:w="120"/>
              <w:bottom w:type="dxa" w:w="100"/>
              <w:right w:type="dxa" w:w="120"/>
            </w:tcMar>
            <w:vAlign w:val="center"/>
          </w:tcPr>
          <w:p>
            <w:r>
              <w:rPr>
                <w:b w:val="false"/>
                <w:bCs w:val="false"/>
                <w:color w:val="222222"/>
                <w:sz w:val="19"/>
                <w:szCs w:val="19"/>
              </w:rPr>
              <w:t xml:space="preserve">iOS home screen (iOS ignores the manifest icons)</w:t>
            </w:r>
          </w:p>
        </w:tc>
        <w:tc>
          <w:tcPr>
            <w:tcW w:type="dxa" w:w="1600"/>
            <w:tcMar>
              <w:top w:type="dxa" w:w="100"/>
              <w:left w:type="dxa" w:w="120"/>
              <w:bottom w:type="dxa" w:w="100"/>
              <w:right w:type="dxa" w:w="120"/>
            </w:tcMar>
            <w:vAlign w:val="center"/>
          </w:tcPr>
          <w:p>
            <w:r>
              <w:rPr>
                <w:b w:val="false"/>
                <w:bCs w:val="false"/>
                <w:color w:val="222222"/>
                <w:sz w:val="19"/>
                <w:szCs w:val="19"/>
              </w:rPr>
              <w:t xml:space="preserve">Yes</w:t>
            </w:r>
          </w:p>
        </w:tc>
      </w:tr>
      <w:tr>
        <w:tc>
          <w:tcPr>
            <w:tcW w:type="dxa" w:w="2600"/>
            <w:tcMar>
              <w:top w:type="dxa" w:w="100"/>
              <w:left w:type="dxa" w:w="120"/>
              <w:bottom w:type="dxa" w:w="100"/>
              <w:right w:type="dxa" w:w="120"/>
            </w:tcMar>
            <w:vAlign w:val="center"/>
          </w:tcPr>
          <w:p>
            <w:r>
              <w:rPr>
                <w:b w:val="false"/>
                <w:bCs w:val="false"/>
                <w:color w:val="222222"/>
                <w:sz w:val="19"/>
                <w:szCs w:val="19"/>
              </w:rPr>
              <w:t xml:space="preserve">favicon.ico</w:t>
            </w:r>
          </w:p>
        </w:tc>
        <w:tc>
          <w:tcPr>
            <w:tcW w:type="dxa" w:w="2600"/>
            <w:tcMar>
              <w:top w:type="dxa" w:w="100"/>
              <w:left w:type="dxa" w:w="120"/>
              <w:bottom w:type="dxa" w:w="100"/>
              <w:right w:type="dxa" w:w="120"/>
            </w:tcMar>
            <w:vAlign w:val="center"/>
          </w:tcPr>
          <w:p>
            <w:r>
              <w:rPr>
                <w:b w:val="false"/>
                <w:bCs w:val="false"/>
                <w:color w:val="222222"/>
                <w:sz w:val="19"/>
                <w:szCs w:val="19"/>
              </w:rPr>
              <w:t xml:space="preserve">16/32/48 multi-res</w:t>
            </w:r>
          </w:p>
        </w:tc>
        <w:tc>
          <w:tcPr>
            <w:tcW w:type="dxa" w:w="2600"/>
            <w:tcMar>
              <w:top w:type="dxa" w:w="100"/>
              <w:left w:type="dxa" w:w="120"/>
              <w:bottom w:type="dxa" w:w="100"/>
              <w:right w:type="dxa" w:w="120"/>
            </w:tcMar>
            <w:vAlign w:val="center"/>
          </w:tcPr>
          <w:p>
            <w:r>
              <w:rPr>
                <w:b w:val="false"/>
                <w:bCs w:val="false"/>
                <w:color w:val="222222"/>
                <w:sz w:val="19"/>
                <w:szCs w:val="19"/>
              </w:rPr>
              <w:t xml:space="preserve">Browser tab</w:t>
            </w:r>
          </w:p>
        </w:tc>
        <w:tc>
          <w:tcPr>
            <w:tcW w:type="dxa" w:w="1600"/>
            <w:tcMar>
              <w:top w:type="dxa" w:w="100"/>
              <w:left w:type="dxa" w:w="120"/>
              <w:bottom w:type="dxa" w:w="100"/>
              <w:right w:type="dxa" w:w="120"/>
            </w:tcMar>
            <w:vAlign w:val="center"/>
          </w:tcPr>
          <w:p>
            <w:r>
              <w:rPr>
                <w:b w:val="false"/>
                <w:bCs w:val="false"/>
                <w:color w:val="222222"/>
                <w:sz w:val="19"/>
                <w:szCs w:val="19"/>
              </w:rPr>
              <w:t xml:space="preserve">Yes</w:t>
            </w:r>
          </w:p>
        </w:tc>
      </w:tr>
    </w:tbl>
    <w:p>
      <w:pPr>
        <w:pStyle w:val="Heading1"/>
        <w:pBdr>
          <w:bottom w:val="single" w:color="FF5A36" w:sz="6" w:space="6"/>
        </w:pBdr>
        <w:spacing w:after="200" w:before="400"/>
      </w:pPr>
      <w:r>
        <w:rPr>
          <w:b/>
          <w:bCs/>
          <w:color w:val="1B2A4A"/>
        </w:rPr>
        <w:t xml:space="preserve">6. HTML Head Implementation</w:t>
      </w:r>
    </w:p>
    <w:p>
      <w:pPr>
        <w:spacing w:after="160"/>
      </w:pPr>
      <w:r>
        <w:rPr>
          <w:color w:val="222222"/>
          <w:sz w:val="21"/>
          <w:szCs w:val="21"/>
        </w:rPr>
        <w:t xml:space="preserve">Add to the SPA's index.html (all paths assume icons are copied to /public/icons/ so Vite serves them at the site root — Section 7.1):</w:t>
      </w:r>
    </w:p>
    <w:p>
      <w:pPr>
        <w:shd w:fill="1E1E2E" w:val="clear"/>
        <w:spacing w:after="60"/>
      </w:pPr>
      <w:r>
        <w:rPr>
          <w:rFonts w:ascii="Consolas" w:cs="Consolas" w:eastAsia="Consolas" w:hAnsi="Consolas"/>
          <w:color w:val="D4D4D4"/>
          <w:sz w:val="18"/>
          <w:szCs w:val="18"/>
        </w:rPr>
        <w:t xml:space="preserve">&lt;link rel="manifest" href="/manifest.json"&gt;</w:t>
      </w:r>
    </w:p>
    <w:p>
      <w:pPr>
        <w:shd w:fill="1E1E2E" w:val="clear"/>
        <w:spacing w:after="60"/>
      </w:pPr>
      <w:r>
        <w:rPr>
          <w:rFonts w:ascii="Consolas" w:cs="Consolas" w:eastAsia="Consolas" w:hAnsi="Consolas"/>
          <w:color w:val="D4D4D4"/>
          <w:sz w:val="18"/>
          <w:szCs w:val="18"/>
        </w:rPr>
        <w:t xml:space="preserve">&lt;link rel="icon" href="/icons/favicon.ico" sizes="any"&gt;</w:t>
      </w:r>
    </w:p>
    <w:p>
      <w:pPr>
        <w:shd w:fill="1E1E2E" w:val="clear"/>
        <w:spacing w:after="60"/>
      </w:pPr>
      <w:r>
        <w:rPr>
          <w:rFonts w:ascii="Consolas" w:cs="Consolas" w:eastAsia="Consolas" w:hAnsi="Consolas"/>
          <w:color w:val="D4D4D4"/>
          <w:sz w:val="18"/>
          <w:szCs w:val="18"/>
        </w:rPr>
        <w:t xml:space="preserve">&lt;link rel="icon" type="image/png" sizes="32x32" href="/icons/favicon-32.png"&gt;</w:t>
      </w:r>
    </w:p>
    <w:p>
      <w:pPr>
        <w:shd w:fill="1E1E2E" w:val="clear"/>
        <w:spacing w:after="60"/>
      </w:pPr>
      <w:r>
        <w:rPr>
          <w:rFonts w:ascii="Consolas" w:cs="Consolas" w:eastAsia="Consolas" w:hAnsi="Consolas"/>
          <w:color w:val="D4D4D4"/>
          <w:sz w:val="18"/>
          <w:szCs w:val="18"/>
        </w:rPr>
        <w:t xml:space="preserve">&lt;link rel="apple-touch-icon" href="/icons/apple-touch-icon-180.png"&gt;</w:t>
      </w:r>
    </w:p>
    <w:p>
      <w:pPr>
        <w:shd w:fill="1E1E2E" w:val="clear"/>
        <w:spacing w:after="60"/>
      </w:pPr>
      <w:r>
        <w:rPr>
          <w:rFonts w:ascii="Consolas" w:cs="Consolas" w:eastAsia="Consolas" w:hAnsi="Consolas"/>
          <w:color w:val="D4D4D4"/>
          <w:sz w:val="18"/>
          <w:szCs w:val="18"/>
        </w:rPr>
        <w:t xml:space="preserve">&lt;meta name="theme-color" content="#FF5A36"&gt;</w:t>
      </w:r>
    </w:p>
    <w:p>
      <w:pPr>
        <w:shd w:fill="1E1E2E" w:val="clear"/>
        <w:spacing w:after="60"/>
      </w:pPr>
      <w:r>
        <w:rPr>
          <w:rFonts w:ascii="Consolas" w:cs="Consolas" w:eastAsia="Consolas" w:hAnsi="Consolas"/>
          <w:color w:val="D4D4D4"/>
          <w:sz w:val="18"/>
          <w:szCs w:val="18"/>
        </w:rPr>
        <w:t xml:space="preserve">&lt;meta name="apple-mobile-web-app-capable" content="yes"&gt;</w:t>
      </w:r>
    </w:p>
    <w:p>
      <w:pPr>
        <w:shd w:fill="1E1E2E" w:val="clear"/>
        <w:spacing w:after="60"/>
      </w:pPr>
      <w:r>
        <w:rPr>
          <w:rFonts w:ascii="Consolas" w:cs="Consolas" w:eastAsia="Consolas" w:hAnsi="Consolas"/>
          <w:color w:val="D4D4D4"/>
          <w:sz w:val="18"/>
          <w:szCs w:val="18"/>
        </w:rPr>
        <w:t xml:space="preserve">&lt;meta name="apple-mobile-web-app-status-bar-style" content="black-translucent"&gt;</w:t>
      </w:r>
    </w:p>
    <w:p>
      <w:pPr>
        <w:spacing w:after="160"/>
      </w:pPr>
      <w:r>
        <w:rPr>
          <w:color w:val="222222"/>
          <w:sz w:val="21"/>
          <w:szCs w:val="21"/>
        </w:rPr>
        <w:t xml:space="preserve">No native splash-screen image set is included in v1 — iOS/Android both auto-generate a splash from theme_color/background_color + the 512px icon, which is sufficient for the pilot and keeps the asset list at zero extra cost.</w:t>
      </w:r>
    </w:p>
    <w:p>
      <w:pPr>
        <w:pStyle w:val="Heading1"/>
        <w:pBdr>
          <w:bottom w:val="single" w:color="FF5A36" w:sz="6" w:space="6"/>
        </w:pBdr>
        <w:spacing w:after="200" w:before="400"/>
      </w:pPr>
      <w:r>
        <w:rPr>
          <w:b/>
          <w:bCs/>
          <w:color w:val="1B2A4A"/>
        </w:rPr>
        <w:t xml:space="preserve">7. Asset Delivery</w:t>
      </w:r>
    </w:p>
    <w:p>
      <w:pPr>
        <w:pStyle w:val="Heading2"/>
        <w:spacing w:after="150" w:before="300"/>
      </w:pPr>
      <w:r>
        <w:rPr>
          <w:b/>
          <w:bCs/>
          <w:color w:val="1B2A4A"/>
        </w:rPr>
        <w:t xml:space="preserve">7.1 — What's included in this package</w:t>
      </w:r>
    </w:p>
    <w:p>
      <w:pPr>
        <w:pStyle w:val="ListParagraph"/>
        <w:numPr>
          <w:ilvl w:val="0"/>
          <w:numId w:val="2"/>
        </w:numPr>
        <w:spacing w:after="90"/>
      </w:pPr>
      <w:r>
        <w:rPr>
          <w:color w:val="222222"/>
          <w:sz w:val="21"/>
          <w:szCs w:val="21"/>
        </w:rPr>
        <w:t xml:space="preserve">NEARBY-Brand-PWA-Guide.docx — this document</w:t>
      </w:r>
    </w:p>
    <w:p>
      <w:pPr>
        <w:pStyle w:val="ListParagraph"/>
        <w:numPr>
          <w:ilvl w:val="0"/>
          <w:numId w:val="2"/>
        </w:numPr>
        <w:spacing w:after="90"/>
      </w:pPr>
      <w:r>
        <w:rPr>
          <w:color w:val="222222"/>
          <w:sz w:val="21"/>
          <w:szCs w:val="21"/>
        </w:rPr>
        <w:t xml:space="preserve">manifest.json — ready to drop into the SPA's /public/ folder</w:t>
      </w:r>
    </w:p>
    <w:p>
      <w:pPr>
        <w:pStyle w:val="ListParagraph"/>
        <w:numPr>
          <w:ilvl w:val="0"/>
          <w:numId w:val="2"/>
        </w:numPr>
        <w:spacing w:after="90"/>
      </w:pPr>
      <w:r>
        <w:rPr>
          <w:color w:val="222222"/>
          <w:sz w:val="21"/>
          <w:szCs w:val="21"/>
        </w:rPr>
        <w:t xml:space="preserve">nearby-mark.svg / nearby-mark-maskable.svg / nearby-favicon.svg — editable source files</w:t>
      </w:r>
    </w:p>
    <w:p>
      <w:pPr>
        <w:pStyle w:val="ListParagraph"/>
        <w:numPr>
          <w:ilvl w:val="0"/>
          <w:numId w:val="2"/>
        </w:numPr>
        <w:spacing w:after="90"/>
      </w:pPr>
      <w:r>
        <w:rPr>
          <w:color w:val="222222"/>
          <w:sz w:val="21"/>
          <w:szCs w:val="21"/>
        </w:rPr>
        <w:t xml:space="preserve">icons/ — all 14 exported PNGs + favicon.ico listed in Section 5.2, pre-named to match the manifest.json paths exactly</w:t>
      </w:r>
    </w:p>
    <w:p>
      <w:pPr>
        <w:pStyle w:val="Heading2"/>
        <w:spacing w:after="150" w:before="300"/>
      </w:pPr>
      <w:r>
        <w:rPr>
          <w:b/>
          <w:bCs/>
          <w:color w:val="1B2A4A"/>
        </w:rPr>
        <w:t xml:space="preserve">7.2 — Where they go in the repo</w:t>
      </w:r>
    </w:p>
    <w:p>
      <w:pPr>
        <w:shd w:fill="1E1E2E" w:val="clear"/>
        <w:spacing w:after="60"/>
      </w:pPr>
      <w:r>
        <w:rPr>
          <w:rFonts w:ascii="Consolas" w:cs="Consolas" w:eastAsia="Consolas" w:hAnsi="Consolas"/>
          <w:color w:val="D4D4D4"/>
          <w:sz w:val="18"/>
          <w:szCs w:val="18"/>
        </w:rPr>
        <w:t xml:space="preserve">public/</w:t>
      </w:r>
    </w:p>
    <w:p>
      <w:pPr>
        <w:shd w:fill="1E1E2E" w:val="clear"/>
        <w:spacing w:after="60"/>
      </w:pPr>
      <w:r>
        <w:rPr>
          <w:rFonts w:ascii="Consolas" w:cs="Consolas" w:eastAsia="Consolas" w:hAnsi="Consolas"/>
          <w:color w:val="D4D4D4"/>
          <w:sz w:val="18"/>
          <w:szCs w:val="18"/>
        </w:rPr>
        <w:t xml:space="preserve">  manifest.json</w:t>
      </w:r>
    </w:p>
    <w:p>
      <w:pPr>
        <w:shd w:fill="1E1E2E" w:val="clear"/>
        <w:spacing w:after="60"/>
      </w:pPr>
      <w:r>
        <w:rPr>
          <w:rFonts w:ascii="Consolas" w:cs="Consolas" w:eastAsia="Consolas" w:hAnsi="Consolas"/>
          <w:color w:val="D4D4D4"/>
          <w:sz w:val="18"/>
          <w:szCs w:val="18"/>
        </w:rPr>
        <w:t xml:space="preserve">  icons/</w:t>
      </w:r>
    </w:p>
    <w:p>
      <w:pPr>
        <w:shd w:fill="1E1E2E" w:val="clear"/>
        <w:spacing w:after="60"/>
      </w:pPr>
      <w:r>
        <w:rPr>
          <w:rFonts w:ascii="Consolas" w:cs="Consolas" w:eastAsia="Consolas" w:hAnsi="Consolas"/>
          <w:color w:val="D4D4D4"/>
          <w:sz w:val="18"/>
          <w:szCs w:val="18"/>
        </w:rPr>
        <w:t xml:space="preserve">    icon-48.png ... icon-512.png</w:t>
      </w:r>
    </w:p>
    <w:p>
      <w:pPr>
        <w:shd w:fill="1E1E2E" w:val="clear"/>
        <w:spacing w:after="60"/>
      </w:pPr>
      <w:r>
        <w:rPr>
          <w:rFonts w:ascii="Consolas" w:cs="Consolas" w:eastAsia="Consolas" w:hAnsi="Consolas"/>
          <w:color w:val="D4D4D4"/>
          <w:sz w:val="18"/>
          <w:szCs w:val="18"/>
        </w:rPr>
        <w:t xml:space="preserve">    icon-maskable-192.png, icon-maskable-512.png</w:t>
      </w:r>
    </w:p>
    <w:p>
      <w:pPr>
        <w:shd w:fill="1E1E2E" w:val="clear"/>
        <w:spacing w:after="60"/>
      </w:pPr>
      <w:r>
        <w:rPr>
          <w:rFonts w:ascii="Consolas" w:cs="Consolas" w:eastAsia="Consolas" w:hAnsi="Consolas"/>
          <w:color w:val="D4D4D4"/>
          <w:sz w:val="18"/>
          <w:szCs w:val="18"/>
        </w:rPr>
        <w:t xml:space="preserve">    apple-touch-icon-180.png</w:t>
      </w:r>
    </w:p>
    <w:p>
      <w:pPr>
        <w:shd w:fill="1E1E2E" w:val="clear"/>
        <w:spacing w:after="60"/>
      </w:pPr>
      <w:r>
        <w:rPr>
          <w:rFonts w:ascii="Consolas" w:cs="Consolas" w:eastAsia="Consolas" w:hAnsi="Consolas"/>
          <w:color w:val="D4D4D4"/>
          <w:sz w:val="18"/>
          <w:szCs w:val="18"/>
        </w:rPr>
        <w:t xml:space="preserve">    favicon.ico, favicon-16.png, favicon-32.png</w:t>
      </w:r>
    </w:p>
    <w:p>
      <w:pPr>
        <w:spacing w:after="160"/>
      </w:pPr>
      <w:r>
        <w:rPr>
          <w:color w:val="222222"/>
          <w:sz w:val="21"/>
          <w:szCs w:val="21"/>
        </w:rPr>
        <w:t xml:space="preserve">Vite serves everything under /public/ at the site root unchanged, so the manifest's absolute paths (“/icons/icon-512.png”, etc.) resolve correctly with no build-step configuration — this was chosen specifically to add no Sprint 1 setup work.</w:t>
      </w:r>
    </w:p>
    <w:p>
      <w:pPr>
        <w:pStyle w:val="Heading1"/>
        <w:pBdr>
          <w:bottom w:val="single" w:color="FF5A36" w:sz="6" w:space="6"/>
        </w:pBdr>
        <w:spacing w:after="200" w:before="400"/>
      </w:pPr>
      <w:r>
        <w:rPr>
          <w:b/>
          <w:bCs/>
          <w:color w:val="1B2A4A"/>
        </w:rPr>
        <w:t xml:space="preserve">8. Hosting Note (Free Netlify Subdomain)</w:t>
      </w:r>
    </w:p>
    <w:p>
      <w:pPr>
        <w:spacing w:after="160"/>
      </w:pPr>
      <w:r>
        <w:rPr>
          <w:color w:val="222222"/>
          <w:sz w:val="21"/>
          <w:szCs w:val="21"/>
        </w:rPr>
        <w:t xml:space="preserve">Since the pilot is launching on a free *.netlify.app subdomain rather than a custom domain, two small things follow directly from that choice:</w:t>
      </w:r>
    </w:p>
    <w:p>
      <w:pPr>
        <w:pStyle w:val="ListParagraph"/>
        <w:numPr>
          <w:ilvl w:val="0"/>
          <w:numId w:val="2"/>
        </w:numPr>
        <w:spacing w:after="90"/>
      </w:pPr>
      <w:r>
        <w:rPr>
          <w:color w:val="222222"/>
          <w:sz w:val="21"/>
          <w:szCs w:val="21"/>
        </w:rPr>
        <w:t xml:space="preserve">theme_color and the maskable icon matter more than usual — a netlify.app URL in the address bar is the only “brand” a first-time visitor sees before they install the PWA, so the icon and status-bar color are doing extra trust-building work.</w:t>
      </w:r>
    </w:p>
    <w:p>
      <w:pPr>
        <w:pStyle w:val="ListParagraph"/>
        <w:numPr>
          <w:ilvl w:val="0"/>
          <w:numId w:val="2"/>
        </w:numPr>
        <w:spacing w:after="90"/>
      </w:pPr>
      <w:r>
        <w:rPr>
          <w:color w:val="222222"/>
          <w:sz w:val="21"/>
          <w:szCs w:val="21"/>
        </w:rPr>
        <w:t xml:space="preserve">Pick the subdomain once and treat it as fixed for the pilot — changing it later changes the PWA's origin, which invalidates existing installs (users would need to reinstall). “nearby-app.netlify.app” (already used as the example throughout the Master Build Document, Section 3.9) is a fine, available-pattern choice — confirm availability at netlify.com when the site is created and lock it in before any installs happen.</w:t>
      </w:r>
    </w:p>
    <w:p>
      <w:pPr>
        <w:pStyle w:val="Heading1"/>
        <w:pBdr>
          <w:bottom w:val="single" w:color="FF5A36" w:sz="6" w:space="6"/>
        </w:pBdr>
        <w:spacing w:after="200" w:before="400"/>
      </w:pPr>
      <w:r>
        <w:rPr>
          <w:b/>
          <w:bCs/>
          <w:color w:val="1B2A4A"/>
        </w:rPr>
        <w:t xml:space="preserve">9. Motion &amp; Interaction</w:t>
      </w:r>
    </w:p>
    <w:p>
      <w:pPr>
        <w:spacing w:after="160"/>
      </w:pPr>
      <w:r>
        <w:rPr>
          <w:color w:val="222222"/>
          <w:sz w:val="21"/>
          <w:szCs w:val="21"/>
        </w:rPr>
        <w:t xml:space="preserve">NEARBY's UI is driven by real-time events (Section 3.1 of the Master Build Document) — a live response count, a closing window, a shortlist appearing — so motion isn't decoration here, it's how the state machine in Section 6.3 reads as alive rather than static. Every pattern below is deliberately lightweight: CSS transforms/transitions first, Framer Motion only where React state genuinely needs it, nothing that adds meaningful bundle weight or GPU cost. This keeps faith with the zero-latency-loading decisions made elsewhere in this guide (Section 4.1's font fallback stack, Section 6's no-splash-image default) and with the brand's calm-under-pressure voice (Section 1.4) — motion here should never manufacture urgency the way a marketing-site showcase animation would.</w:t>
      </w:r>
    </w:p>
    <w:p>
      <w:pPr>
        <w:pStyle w:val="Heading2"/>
        <w:spacing w:after="150" w:before="300"/>
      </w:pPr>
      <w:r>
        <w:rPr>
          <w:b/>
          <w:bCs/>
          <w:color w:val="1B2A4A"/>
        </w:rPr>
        <w:t xml:space="preserve">9.1 — Motion tokens</w:t>
      </w:r>
    </w:p>
    <w:p>
      <w:pPr>
        <w:spacing w:after="160"/>
      </w:pPr>
      <w:r>
        <w:rPr>
          <w:color w:val="222222"/>
          <w:sz w:val="21"/>
          <w:szCs w:val="21"/>
        </w:rPr>
        <w:t xml:space="preserve">Named constants, not per-component guesswork — keeps every surface consistent and makes prefers-reduced-motion (Section 9.5) a single override point.</w:t>
      </w:r>
    </w:p>
    <w:tbl>
      <w:tblPr>
        <w:tblW w:type="dxa" w:w="9400"/>
        <w:tblBorders>
          <w:top w:val="single" w:color="D8DCE3" w:sz="4"/>
          <w:left w:val="single" w:color="D8DCE3" w:sz="4"/>
          <w:bottom w:val="single" w:color="D8DCE3" w:sz="4"/>
          <w:right w:val="single" w:color="D8DCE3" w:sz="4"/>
          <w:insideH w:val="single" w:color="D8DCE3" w:sz="4"/>
          <w:insideV w:val="single" w:color="D8DCE3" w:sz="4"/>
        </w:tblBorders>
      </w:tblPr>
      <w:tblGrid>
        <w:gridCol w:w="2400"/>
        <w:gridCol w:w="2400"/>
        <w:gridCol w:w="4600"/>
      </w:tblGrid>
      <w:tr>
        <w:tc>
          <w:tcPr>
            <w:tcW w:type="dxa" w:w="2400"/>
            <w:shd w:fill="F4F5F7" w:val="clear"/>
            <w:tcMar>
              <w:top w:type="dxa" w:w="100"/>
              <w:left w:type="dxa" w:w="120"/>
              <w:bottom w:type="dxa" w:w="100"/>
              <w:right w:type="dxa" w:w="120"/>
            </w:tcMar>
            <w:vAlign w:val="center"/>
          </w:tcPr>
          <w:p>
            <w:r>
              <w:rPr>
                <w:b/>
                <w:bCs/>
                <w:color w:val="222222"/>
                <w:sz w:val="19"/>
                <w:szCs w:val="19"/>
              </w:rPr>
              <w:t xml:space="preserve">Token</w:t>
            </w:r>
          </w:p>
        </w:tc>
        <w:tc>
          <w:tcPr>
            <w:tcW w:type="dxa" w:w="2400"/>
            <w:shd w:fill="F4F5F7" w:val="clear"/>
            <w:tcMar>
              <w:top w:type="dxa" w:w="100"/>
              <w:left w:type="dxa" w:w="120"/>
              <w:bottom w:type="dxa" w:w="100"/>
              <w:right w:type="dxa" w:w="120"/>
            </w:tcMar>
            <w:vAlign w:val="center"/>
          </w:tcPr>
          <w:p>
            <w:r>
              <w:rPr>
                <w:b/>
                <w:bCs/>
                <w:color w:val="222222"/>
                <w:sz w:val="19"/>
                <w:szCs w:val="19"/>
              </w:rPr>
              <w:t xml:space="preserve">Value</w:t>
            </w:r>
          </w:p>
        </w:tc>
        <w:tc>
          <w:tcPr>
            <w:tcW w:type="dxa" w:w="4600"/>
            <w:shd w:fill="F4F5F7" w:val="clear"/>
            <w:tcMar>
              <w:top w:type="dxa" w:w="100"/>
              <w:left w:type="dxa" w:w="120"/>
              <w:bottom w:type="dxa" w:w="100"/>
              <w:right w:type="dxa" w:w="120"/>
            </w:tcMar>
            <w:vAlign w:val="center"/>
          </w:tcPr>
          <w:p>
            <w:r>
              <w:rPr>
                <w:b/>
                <w:bCs/>
                <w:color w:val="222222"/>
                <w:sz w:val="19"/>
                <w:szCs w:val="19"/>
              </w:rPr>
              <w:t xml:space="preserve">Used for</w:t>
            </w:r>
          </w:p>
        </w:tc>
      </w:tr>
      <w:tr>
        <w:tc>
          <w:tcPr>
            <w:tcW w:type="dxa" w:w="2400"/>
            <w:tcMar>
              <w:top w:type="dxa" w:w="100"/>
              <w:left w:type="dxa" w:w="120"/>
              <w:bottom w:type="dxa" w:w="100"/>
              <w:right w:type="dxa" w:w="120"/>
            </w:tcMar>
            <w:vAlign w:val="center"/>
          </w:tcPr>
          <w:p>
            <w:r>
              <w:rPr>
                <w:b w:val="false"/>
                <w:bCs w:val="false"/>
                <w:color w:val="222222"/>
                <w:sz w:val="19"/>
                <w:szCs w:val="19"/>
              </w:rPr>
              <w:t xml:space="preserve">duration-instant</w:t>
            </w:r>
          </w:p>
        </w:tc>
        <w:tc>
          <w:tcPr>
            <w:tcW w:type="dxa" w:w="2400"/>
            <w:tcMar>
              <w:top w:type="dxa" w:w="100"/>
              <w:left w:type="dxa" w:w="120"/>
              <w:bottom w:type="dxa" w:w="100"/>
              <w:right w:type="dxa" w:w="120"/>
            </w:tcMar>
            <w:vAlign w:val="center"/>
          </w:tcPr>
          <w:p>
            <w:r>
              <w:rPr>
                <w:b w:val="false"/>
                <w:bCs w:val="false"/>
                <w:color w:val="222222"/>
                <w:sz w:val="19"/>
                <w:szCs w:val="19"/>
              </w:rPr>
              <w:t xml:space="preserve">100ms</w:t>
            </w:r>
          </w:p>
        </w:tc>
        <w:tc>
          <w:tcPr>
            <w:tcW w:type="dxa" w:w="4600"/>
            <w:tcMar>
              <w:top w:type="dxa" w:w="100"/>
              <w:left w:type="dxa" w:w="120"/>
              <w:bottom w:type="dxa" w:w="100"/>
              <w:right w:type="dxa" w:w="120"/>
            </w:tcMar>
            <w:vAlign w:val="center"/>
          </w:tcPr>
          <w:p>
            <w:r>
              <w:rPr>
                <w:b w:val="false"/>
                <w:bCs w:val="false"/>
                <w:color w:val="222222"/>
                <w:sz w:val="19"/>
                <w:szCs w:val="19"/>
              </w:rPr>
              <w:t xml:space="preserve">Tap/press feedback (9.3)</w:t>
            </w:r>
          </w:p>
        </w:tc>
      </w:tr>
      <w:tr>
        <w:tc>
          <w:tcPr>
            <w:tcW w:type="dxa" w:w="2400"/>
            <w:tcMar>
              <w:top w:type="dxa" w:w="100"/>
              <w:left w:type="dxa" w:w="120"/>
              <w:bottom w:type="dxa" w:w="100"/>
              <w:right w:type="dxa" w:w="120"/>
            </w:tcMar>
            <w:vAlign w:val="center"/>
          </w:tcPr>
          <w:p>
            <w:r>
              <w:rPr>
                <w:b w:val="false"/>
                <w:bCs w:val="false"/>
                <w:color w:val="222222"/>
                <w:sz w:val="19"/>
                <w:szCs w:val="19"/>
              </w:rPr>
              <w:t xml:space="preserve">duration-quick</w:t>
            </w:r>
          </w:p>
        </w:tc>
        <w:tc>
          <w:tcPr>
            <w:tcW w:type="dxa" w:w="2400"/>
            <w:tcMar>
              <w:top w:type="dxa" w:w="100"/>
              <w:left w:type="dxa" w:w="120"/>
              <w:bottom w:type="dxa" w:w="100"/>
              <w:right w:type="dxa" w:w="120"/>
            </w:tcMar>
            <w:vAlign w:val="center"/>
          </w:tcPr>
          <w:p>
            <w:r>
              <w:rPr>
                <w:b w:val="false"/>
                <w:bCs w:val="false"/>
                <w:color w:val="222222"/>
                <w:sz w:val="19"/>
                <w:szCs w:val="19"/>
              </w:rPr>
              <w:t xml:space="preserve">180ms</w:t>
            </w:r>
          </w:p>
        </w:tc>
        <w:tc>
          <w:tcPr>
            <w:tcW w:type="dxa" w:w="4600"/>
            <w:tcMar>
              <w:top w:type="dxa" w:w="100"/>
              <w:left w:type="dxa" w:w="120"/>
              <w:bottom w:type="dxa" w:w="100"/>
              <w:right w:type="dxa" w:w="120"/>
            </w:tcMar>
            <w:vAlign w:val="center"/>
          </w:tcPr>
          <w:p>
            <w:r>
              <w:rPr>
                <w:b w:val="false"/>
                <w:bCs w:val="false"/>
                <w:color w:val="222222"/>
                <w:sz w:val="19"/>
                <w:szCs w:val="19"/>
              </w:rPr>
              <w:t xml:space="preserve">Toasts, skeleton-to-content swap (9.3, 9.4)</w:t>
            </w:r>
          </w:p>
        </w:tc>
      </w:tr>
      <w:tr>
        <w:tc>
          <w:tcPr>
            <w:tcW w:type="dxa" w:w="2400"/>
            <w:tcMar>
              <w:top w:type="dxa" w:w="100"/>
              <w:left w:type="dxa" w:w="120"/>
              <w:bottom w:type="dxa" w:w="100"/>
              <w:right w:type="dxa" w:w="120"/>
            </w:tcMar>
            <w:vAlign w:val="center"/>
          </w:tcPr>
          <w:p>
            <w:r>
              <w:rPr>
                <w:b w:val="false"/>
                <w:bCs w:val="false"/>
                <w:color w:val="222222"/>
                <w:sz w:val="19"/>
                <w:szCs w:val="19"/>
              </w:rPr>
              <w:t xml:space="preserve">duration-standard</w:t>
            </w:r>
          </w:p>
        </w:tc>
        <w:tc>
          <w:tcPr>
            <w:tcW w:type="dxa" w:w="2400"/>
            <w:tcMar>
              <w:top w:type="dxa" w:w="100"/>
              <w:left w:type="dxa" w:w="120"/>
              <w:bottom w:type="dxa" w:w="100"/>
              <w:right w:type="dxa" w:w="120"/>
            </w:tcMar>
            <w:vAlign w:val="center"/>
          </w:tcPr>
          <w:p>
            <w:r>
              <w:rPr>
                <w:b w:val="false"/>
                <w:bCs w:val="false"/>
                <w:color w:val="222222"/>
                <w:sz w:val="19"/>
                <w:szCs w:val="19"/>
              </w:rPr>
              <w:t xml:space="preserve">240ms</w:t>
            </w:r>
          </w:p>
        </w:tc>
        <w:tc>
          <w:tcPr>
            <w:tcW w:type="dxa" w:w="4600"/>
            <w:tcMar>
              <w:top w:type="dxa" w:w="100"/>
              <w:left w:type="dxa" w:w="120"/>
              <w:bottom w:type="dxa" w:w="100"/>
              <w:right w:type="dxa" w:w="120"/>
            </w:tcMar>
            <w:vAlign w:val="center"/>
          </w:tcPr>
          <w:p>
            <w:r>
              <w:rPr>
                <w:b w:val="false"/>
                <w:bCs w:val="false"/>
                <w:color w:val="222222"/>
                <w:sz w:val="19"/>
                <w:szCs w:val="19"/>
              </w:rPr>
              <w:t xml:space="preserve">Card reveal, screen transitions (9.2, 9.3)</w:t>
            </w:r>
          </w:p>
        </w:tc>
      </w:tr>
      <w:tr>
        <w:tc>
          <w:tcPr>
            <w:tcW w:type="dxa" w:w="2400"/>
            <w:tcMar>
              <w:top w:type="dxa" w:w="100"/>
              <w:left w:type="dxa" w:w="120"/>
              <w:bottom w:type="dxa" w:w="100"/>
              <w:right w:type="dxa" w:w="120"/>
            </w:tcMar>
            <w:vAlign w:val="center"/>
          </w:tcPr>
          <w:p>
            <w:r>
              <w:rPr>
                <w:b w:val="false"/>
                <w:bCs w:val="false"/>
                <w:color w:val="222222"/>
                <w:sz w:val="19"/>
                <w:szCs w:val="19"/>
              </w:rPr>
              <w:t xml:space="preserve">ease-standard</w:t>
            </w:r>
          </w:p>
        </w:tc>
        <w:tc>
          <w:tcPr>
            <w:tcW w:type="dxa" w:w="2400"/>
            <w:tcMar>
              <w:top w:type="dxa" w:w="100"/>
              <w:left w:type="dxa" w:w="120"/>
              <w:bottom w:type="dxa" w:w="100"/>
              <w:right w:type="dxa" w:w="120"/>
            </w:tcMar>
            <w:vAlign w:val="center"/>
          </w:tcPr>
          <w:p>
            <w:r>
              <w:rPr>
                <w:b w:val="false"/>
                <w:bCs w:val="false"/>
                <w:color w:val="222222"/>
                <w:sz w:val="19"/>
                <w:szCs w:val="19"/>
              </w:rPr>
              <w:t xml:space="preserve">cubic-bezier(0.4, 0, 0.2, 1)</w:t>
            </w:r>
          </w:p>
        </w:tc>
        <w:tc>
          <w:tcPr>
            <w:tcW w:type="dxa" w:w="4600"/>
            <w:tcMar>
              <w:top w:type="dxa" w:w="100"/>
              <w:left w:type="dxa" w:w="120"/>
              <w:bottom w:type="dxa" w:w="100"/>
              <w:right w:type="dxa" w:w="120"/>
            </w:tcMar>
            <w:vAlign w:val="center"/>
          </w:tcPr>
          <w:p>
            <w:r>
              <w:rPr>
                <w:b w:val="false"/>
                <w:bCs w:val="false"/>
                <w:color w:val="222222"/>
                <w:sz w:val="19"/>
                <w:szCs w:val="19"/>
              </w:rPr>
              <w:t xml:space="preserve">Default easing — fast in, gentle stop</w:t>
            </w:r>
          </w:p>
        </w:tc>
      </w:tr>
      <w:tr>
        <w:tc>
          <w:tcPr>
            <w:tcW w:type="dxa" w:w="2400"/>
            <w:tcMar>
              <w:top w:type="dxa" w:w="100"/>
              <w:left w:type="dxa" w:w="120"/>
              <w:bottom w:type="dxa" w:w="100"/>
              <w:right w:type="dxa" w:w="120"/>
            </w:tcMar>
            <w:vAlign w:val="center"/>
          </w:tcPr>
          <w:p>
            <w:r>
              <w:rPr>
                <w:b w:val="false"/>
                <w:bCs w:val="false"/>
                <w:color w:val="222222"/>
                <w:sz w:val="19"/>
                <w:szCs w:val="19"/>
              </w:rPr>
              <w:t xml:space="preserve">ease-out-soft</w:t>
            </w:r>
          </w:p>
        </w:tc>
        <w:tc>
          <w:tcPr>
            <w:tcW w:type="dxa" w:w="2400"/>
            <w:tcMar>
              <w:top w:type="dxa" w:w="100"/>
              <w:left w:type="dxa" w:w="120"/>
              <w:bottom w:type="dxa" w:w="100"/>
              <w:right w:type="dxa" w:w="120"/>
            </w:tcMar>
            <w:vAlign w:val="center"/>
          </w:tcPr>
          <w:p>
            <w:r>
              <w:rPr>
                <w:b w:val="false"/>
                <w:bCs w:val="false"/>
                <w:color w:val="222222"/>
                <w:sz w:val="19"/>
                <w:szCs w:val="19"/>
              </w:rPr>
              <w:t xml:space="preserve">cubic-bezier(0, 0, 0.2, 1)</w:t>
            </w:r>
          </w:p>
        </w:tc>
        <w:tc>
          <w:tcPr>
            <w:tcW w:type="dxa" w:w="4600"/>
            <w:tcMar>
              <w:top w:type="dxa" w:w="100"/>
              <w:left w:type="dxa" w:w="120"/>
              <w:bottom w:type="dxa" w:w="100"/>
              <w:right w:type="dxa" w:w="120"/>
            </w:tcMar>
            <w:vAlign w:val="center"/>
          </w:tcPr>
          <w:p>
            <w:r>
              <w:rPr>
                <w:b w:val="false"/>
                <w:bCs w:val="false"/>
                <w:color w:val="222222"/>
                <w:sz w:val="19"/>
                <w:szCs w:val="19"/>
              </w:rPr>
              <w:t xml:space="preserve">Elements entering the screen (reveals, toasts)</w:t>
            </w:r>
          </w:p>
        </w:tc>
      </w:tr>
      <w:tr>
        <w:tc>
          <w:tcPr>
            <w:tcW w:type="dxa" w:w="2400"/>
            <w:tcMar>
              <w:top w:type="dxa" w:w="100"/>
              <w:left w:type="dxa" w:w="120"/>
              <w:bottom w:type="dxa" w:w="100"/>
              <w:right w:type="dxa" w:w="120"/>
            </w:tcMar>
            <w:vAlign w:val="center"/>
          </w:tcPr>
          <w:p>
            <w:r>
              <w:rPr>
                <w:b w:val="false"/>
                <w:bCs w:val="false"/>
                <w:color w:val="222222"/>
                <w:sz w:val="19"/>
                <w:szCs w:val="19"/>
              </w:rPr>
              <w:t xml:space="preserve">stagger-step</w:t>
            </w:r>
          </w:p>
        </w:tc>
        <w:tc>
          <w:tcPr>
            <w:tcW w:type="dxa" w:w="2400"/>
            <w:tcMar>
              <w:top w:type="dxa" w:w="100"/>
              <w:left w:type="dxa" w:w="120"/>
              <w:bottom w:type="dxa" w:w="100"/>
              <w:right w:type="dxa" w:w="120"/>
            </w:tcMar>
            <w:vAlign w:val="center"/>
          </w:tcPr>
          <w:p>
            <w:r>
              <w:rPr>
                <w:b w:val="false"/>
                <w:bCs w:val="false"/>
                <w:color w:val="222222"/>
                <w:sz w:val="19"/>
                <w:szCs w:val="19"/>
              </w:rPr>
              <w:t xml:space="preserve">40ms</w:t>
            </w:r>
          </w:p>
        </w:tc>
        <w:tc>
          <w:tcPr>
            <w:tcW w:type="dxa" w:w="4600"/>
            <w:tcMar>
              <w:top w:type="dxa" w:w="100"/>
              <w:left w:type="dxa" w:w="120"/>
              <w:bottom w:type="dxa" w:w="100"/>
              <w:right w:type="dxa" w:w="120"/>
            </w:tcMar>
            <w:vAlign w:val="center"/>
          </w:tcPr>
          <w:p>
            <w:r>
              <w:rPr>
                <w:b w:val="false"/>
                <w:bCs w:val="false"/>
                <w:color w:val="222222"/>
                <w:sz w:val="19"/>
                <w:szCs w:val="19"/>
              </w:rPr>
              <w:t xml:space="preserve">Delay between successive shortlist cards (9.2)</w:t>
            </w:r>
          </w:p>
        </w:tc>
      </w:tr>
    </w:tbl>
    <w:p>
      <w:pPr>
        <w:pStyle w:val="Heading2"/>
        <w:spacing w:after="150" w:before="300"/>
      </w:pPr>
      <w:r>
        <w:rPr>
          <w:b/>
          <w:bCs/>
          <w:color w:val="1B2A4A"/>
        </w:rPr>
        <w:t xml:space="preserve">9.2 — Real-time state animations</w:t>
      </w:r>
    </w:p>
    <w:p>
      <w:pPr>
        <w:spacing w:after="160"/>
      </w:pPr>
      <w:r>
        <w:rPr>
          <w:color w:val="222222"/>
          <w:sz w:val="21"/>
          <w:szCs w:val="21"/>
        </w:rPr>
        <w:t xml:space="preserve">Tied directly to the Socket.IO events in Section 5's "Real-time events" table and the client state machine in Section 6.3 of the Master Build Document:</w:t>
      </w:r>
    </w:p>
    <w:p>
      <w:pPr>
        <w:pStyle w:val="ListParagraph"/>
        <w:numPr>
          <w:ilvl w:val="0"/>
          <w:numId w:val="2"/>
        </w:numPr>
        <w:spacing w:after="90"/>
      </w:pPr>
      <w:r>
        <w:rPr>
          <w:color w:val="222222"/>
          <w:sz w:val="21"/>
          <w:szCs w:val="21"/>
        </w:rPr>
        <w:t xml:space="preserve">Broadcast pulse — while a request is status: 'open', the logomark's three arcs (Section 2.1) animate outward as looping, staggered expanding rings (CSS @keyframes, ~1.6s loop, opacity fade). Shown on the customer's own request-detail screen to signal "still broadcasting" without a spinner.</w:t>
      </w:r>
    </w:p>
    <w:p>
      <w:pPr>
        <w:pStyle w:val="ListParagraph"/>
        <w:numPr>
          <w:ilvl w:val="0"/>
          <w:numId w:val="2"/>
        </w:numPr>
        <w:spacing w:after="90"/>
      </w:pPr>
      <w:r>
        <w:rPr>
          <w:color w:val="222222"/>
          <w:sz w:val="21"/>
          <w:szCs w:val="21"/>
        </w:rPr>
        <w:t xml:space="preserve">Live count-up — response:update's count doesn't jump; it eases from the old value to the new one over duration-quick. Never animates past the true number (no bouncy overshoot) — matches the "neutral, never manufactures urgency" voice rule (Section 1.4).</w:t>
      </w:r>
    </w:p>
    <w:p>
      <w:pPr>
        <w:pStyle w:val="ListParagraph"/>
        <w:numPr>
          <w:ilvl w:val="0"/>
          <w:numId w:val="2"/>
        </w:numPr>
        <w:spacing w:after="90"/>
      </w:pPr>
      <w:r>
        <w:rPr>
          <w:color w:val="222222"/>
          <w:sz w:val="21"/>
          <w:szCs w:val="21"/>
        </w:rPr>
        <w:t xml:space="preserve">Shortlist reveal — on request:ready, shop cards fade in + translateY(10px→0) over duration-standard/ease-out-soft, each card offset by stagger-step so the list builds top-to-bottom instead of popping in at once.</w:t>
      </w:r>
    </w:p>
    <w:p>
      <w:pPr>
        <w:pStyle w:val="ListParagraph"/>
        <w:numPr>
          <w:ilvl w:val="0"/>
          <w:numId w:val="2"/>
        </w:numPr>
        <w:spacing w:after="90"/>
      </w:pPr>
      <w:r>
        <w:rPr>
          <w:color w:val="222222"/>
          <w:sz w:val="21"/>
          <w:szCs w:val="21"/>
        </w:rPr>
        <w:t xml:space="preserve">Selection confirmation — request:selected crossfades the shortlist view into the single confirmed-shop card (duration-standard) rather than a hard route change, so the customer doesn't lose their place.</w:t>
      </w:r>
    </w:p>
    <w:p>
      <w:pPr>
        <w:pStyle w:val="ListParagraph"/>
        <w:numPr>
          <w:ilvl w:val="0"/>
          <w:numId w:val="2"/>
        </w:numPr>
        <w:spacing w:after="90"/>
      </w:pPr>
      <w:r>
        <w:rPr>
          <w:color w:val="222222"/>
          <w:sz w:val="21"/>
          <w:szCs w:val="21"/>
        </w:rPr>
        <w:t xml:space="preserve">Expired / cancelled states — no motion beyond the standard screen-transition fade (9.3); these are end states and shouldn't draw extra attention per the calm-tone rule.</w:t>
      </w:r>
    </w:p>
    <w:p>
      <w:pPr>
        <w:pStyle w:val="Heading2"/>
        <w:spacing w:after="150" w:before="300"/>
      </w:pPr>
      <w:r>
        <w:rPr>
          <w:b/>
          <w:bCs/>
          <w:color w:val="1B2A4A"/>
        </w:rPr>
        <w:t xml:space="preserve">9.3 — Core interaction patterns</w:t>
      </w:r>
    </w:p>
    <w:p>
      <w:pPr>
        <w:pStyle w:val="ListParagraph"/>
        <w:numPr>
          <w:ilvl w:val="0"/>
          <w:numId w:val="2"/>
        </w:numPr>
        <w:spacing w:after="90"/>
      </w:pPr>
      <w:r>
        <w:rPr>
          <w:color w:val="222222"/>
          <w:sz w:val="21"/>
          <w:szCs w:val="21"/>
        </w:rPr>
        <w:t xml:space="preserve">Tap/press feedback — buttons and shop cards scale to 0.97 on :active/touchstart over duration-instant, scale back on release. Cheapest signal that the app feels installed/native rather than a browser tab.</w:t>
      </w:r>
    </w:p>
    <w:p>
      <w:pPr>
        <w:pStyle w:val="ListParagraph"/>
        <w:numPr>
          <w:ilvl w:val="0"/>
          <w:numId w:val="2"/>
        </w:numPr>
        <w:spacing w:after="90"/>
      </w:pPr>
      <w:r>
        <w:rPr>
          <w:color w:val="222222"/>
          <w:sz w:val="21"/>
          <w:szCs w:val="21"/>
        </w:rPr>
        <w:t xml:space="preserve">Screen transitions — a single fade + 12px translateY over duration-standard between route changes. No slide-in-from-3D, no shared-element morphing — keeps first paint fast on a Render free-tier cold start (Section 8.4, Master Build Document).</w:t>
      </w:r>
    </w:p>
    <w:p>
      <w:pPr>
        <w:pStyle w:val="ListParagraph"/>
        <w:numPr>
          <w:ilvl w:val="0"/>
          <w:numId w:val="2"/>
        </w:numPr>
        <w:spacing w:after="90"/>
      </w:pPr>
      <w:r>
        <w:rPr>
          <w:color w:val="222222"/>
          <w:sz w:val="21"/>
          <w:szCs w:val="21"/>
        </w:rPr>
        <w:t xml:space="preserve">Toast / snackbar — slides up from the bottom edge + fades in over duration-quick for background socket events (request:selected while elsewhere in the app, request:cancelled). Auto-dismisses; never blocks input.</w:t>
      </w:r>
    </w:p>
    <w:p>
      <w:pPr>
        <w:pStyle w:val="ListParagraph"/>
        <w:numPr>
          <w:ilvl w:val="0"/>
          <w:numId w:val="2"/>
        </w:numPr>
        <w:spacing w:after="90"/>
      </w:pPr>
      <w:r>
        <w:rPr>
          <w:color w:val="222222"/>
          <w:sz w:val="21"/>
          <w:szCs w:val="21"/>
        </w:rPr>
        <w:t xml:space="preserve">Pull-to-refresh / manual reload — a simple rotating-arrow spinner, not a custom illustration; reserved for the REST-fallback polling case in Section 6.3 so the shop dashboard's 5s poll (Master Build Document, Section 6.3) has a visible manual trigger too.</w:t>
      </w:r>
    </w:p>
    <w:p>
      <w:pPr>
        <w:pStyle w:val="Heading2"/>
        <w:spacing w:after="150" w:before="300"/>
      </w:pPr>
      <w:r>
        <w:rPr>
          <w:b/>
          <w:bCs/>
          <w:color w:val="1B2A4A"/>
        </w:rPr>
        <w:t xml:space="preserve">9.4 — Loading &amp; empty states</w:t>
      </w:r>
    </w:p>
    <w:p>
      <w:pPr>
        <w:pStyle w:val="ListParagraph"/>
        <w:numPr>
          <w:ilvl w:val="0"/>
          <w:numId w:val="2"/>
        </w:numPr>
        <w:spacing w:after="90"/>
      </w:pPr>
      <w:r>
        <w:rPr>
          <w:color w:val="222222"/>
          <w:sz w:val="21"/>
          <w:szCs w:val="21"/>
        </w:rPr>
        <w:t xml:space="preserve">Skeleton loaders — shop dashboard cards and the shortlist show gray placeholder blocks (Gray 100/Gray 300, Section 3.1) with a slow left-to-right shimmer, swapped for real content over duration-quick once data arrives. Used instead of a centered spinner anywhere a list is the eventual content.</w:t>
      </w:r>
    </w:p>
    <w:p>
      <w:pPr>
        <w:pStyle w:val="ListParagraph"/>
        <w:numPr>
          <w:ilvl w:val="0"/>
          <w:numId w:val="2"/>
        </w:numPr>
        <w:spacing w:after="90"/>
      </w:pPr>
      <w:r>
        <w:rPr>
          <w:color w:val="222222"/>
          <w:sz w:val="21"/>
          <w:szCs w:val="21"/>
        </w:rPr>
        <w:t xml:space="preserve">Empty states — "no shops in range yet," "no requests waiting" — get a single static instance of the logomark's pin (no looping animation; a looping empty state reads as the app being stuck, not as the app working) plus one line of the direct, plain-word copy defined in Section 1.4.</w:t>
      </w:r>
    </w:p>
    <w:p>
      <w:pPr>
        <w:pStyle w:val="Heading2"/>
        <w:spacing w:after="150" w:before="300"/>
      </w:pPr>
      <w:r>
        <w:rPr>
          <w:b/>
          <w:bCs/>
          <w:color w:val="1B2A4A"/>
        </w:rPr>
        <w:t xml:space="preserve">9.5 — Accessibility: reduced motion</w:t>
      </w:r>
    </w:p>
    <w:p>
      <w:pPr>
        <w:spacing w:after="160"/>
      </w:pPr>
      <w:r>
        <w:rPr>
          <w:color w:val="222222"/>
          <w:sz w:val="21"/>
          <w:szCs w:val="21"/>
        </w:rPr>
        <w:t xml:space="preserve">A single `@media (prefers-reduced-motion: reduce)` block disables the broadcast pulse loop, shortlist stagger, and skeleton shimmer app-wide, falling back to instant state changes with no transition. This is one media query against the tokens in Section 9.1 — not a per-component decision — so it can't be missed component-by-component as the app grows.</w:t>
      </w:r>
    </w:p>
    <w:p>
      <w:pPr>
        <w:pStyle w:val="Heading2"/>
        <w:spacing w:after="150" w:before="300"/>
      </w:pPr>
      <w:r>
        <w:rPr>
          <w:b/>
          <w:bCs/>
          <w:color w:val="1B2A4A"/>
        </w:rPr>
        <w:t xml:space="preserve">9.6 — Deliberately out of scope for v1</w:t>
      </w:r>
    </w:p>
    <w:p>
      <w:pPr>
        <w:spacing w:after="160"/>
      </w:pPr>
      <w:r>
        <w:rPr>
          <w:color w:val="222222"/>
          <w:sz w:val="21"/>
          <w:szCs w:val="21"/>
        </w:rPr>
        <w:t xml:space="preserve">Named explicitly so it's a documented deferral, not an oversight, consistent with how the Master Build Document handles scope cuts (e.g. Section 3.11):</w:t>
      </w:r>
    </w:p>
    <w:p>
      <w:pPr>
        <w:pStyle w:val="ListParagraph"/>
        <w:numPr>
          <w:ilvl w:val="0"/>
          <w:numId w:val="2"/>
        </w:numPr>
        <w:spacing w:after="90"/>
      </w:pPr>
      <w:r>
        <w:rPr>
          <w:color w:val="222222"/>
          <w:sz w:val="21"/>
          <w:szCs w:val="21"/>
        </w:rPr>
        <w:t xml:space="preserve">3D/WebGL effects (globe carousels, 3D card flips, parallax scenes) — real GPU/bundle cost for a mobile-first utility app on a free-tier CDN, and off-tone for the "calm, respectful of shopkeepers' time" voice (Section 1.4).</w:t>
      </w:r>
    </w:p>
    <w:p>
      <w:pPr>
        <w:pStyle w:val="ListParagraph"/>
        <w:numPr>
          <w:ilvl w:val="0"/>
          <w:numId w:val="2"/>
        </w:numPr>
        <w:spacing w:after="90"/>
      </w:pPr>
      <w:r>
        <w:rPr>
          <w:color w:val="222222"/>
          <w:sz w:val="21"/>
          <w:szCs w:val="21"/>
        </w:rPr>
        <w:t xml:space="preserve">Sound and haptics — no audio cues or vibration patterns in v1; nothing in the FRs (Master Build Document, Section 2) calls for them and they'd need their own on/off setting.</w:t>
      </w:r>
    </w:p>
    <w:p>
      <w:pPr>
        <w:pStyle w:val="ListParagraph"/>
        <w:numPr>
          <w:ilvl w:val="0"/>
          <w:numId w:val="2"/>
        </w:numPr>
        <w:spacing w:after="90"/>
      </w:pPr>
      <w:r>
        <w:rPr>
          <w:color w:val="222222"/>
          <w:sz w:val="21"/>
          <w:szCs w:val="21"/>
        </w:rPr>
        <w:t xml:space="preserve">Custom page-transition libraries beyond Framer Motion — the fade/translateY pattern in 9.3 covers every transition in the three surfaces; a heavier routing-transition library isn't justified at this scope.</w:t>
      </w:r>
    </w:p>
    <w:p>
      <w:pPr>
        <w:spacing w:after="160"/>
      </w:pPr>
      <w:r>
        <w:rPr>
          <w:color w:val="222222"/>
          <w:sz w:val="21"/>
          <w:szCs w:val="21"/>
        </w:rPr>
        <w:t xml:space="preserve">If a future marketing/pre-install landing page is built (separate from the installed PWA, per Section 8's hosting note), heavier showcase-style motion (feature carousels, illustrated hero animation) is reasonable there, since it's a one-time page a visitor loads before installing rather than the installed app itself.</w:t>
      </w:r>
    </w:p>
    <w:p>
      <w:pPr>
        <w:pStyle w:val="Heading1"/>
        <w:pBdr>
          <w:bottom w:val="single" w:color="FF5A36" w:sz="6" w:space="6"/>
        </w:pBdr>
        <w:spacing w:after="200" w:before="400"/>
      </w:pPr>
      <w:r>
        <w:rPr>
          <w:b/>
          <w:bCs/>
          <w:color w:val="1B2A4A"/>
        </w:rPr>
        <w:t xml:space="preserve">10. Appendix: File Index</w:t>
      </w:r>
    </w:p>
    <w:tbl>
      <w:tblPr>
        <w:tblW w:type="dxa" w:w="9400"/>
        <w:tblBorders>
          <w:top w:val="single" w:color="D8DCE3" w:sz="4"/>
          <w:left w:val="single" w:color="D8DCE3" w:sz="4"/>
          <w:bottom w:val="single" w:color="D8DCE3" w:sz="4"/>
          <w:right w:val="single" w:color="D8DCE3" w:sz="4"/>
          <w:insideH w:val="single" w:color="D8DCE3" w:sz="4"/>
          <w:insideV w:val="single" w:color="D8DCE3" w:sz="4"/>
        </w:tblBorders>
      </w:tblPr>
      <w:tblGrid>
        <w:gridCol w:w="4000"/>
        <w:gridCol w:w="5400"/>
      </w:tblGrid>
      <w:tr>
        <w:tc>
          <w:tcPr>
            <w:tcW w:type="dxa" w:w="4000"/>
            <w:shd w:fill="F4F5F7" w:val="clear"/>
            <w:tcMar>
              <w:top w:type="dxa" w:w="100"/>
              <w:left w:type="dxa" w:w="120"/>
              <w:bottom w:type="dxa" w:w="100"/>
              <w:right w:type="dxa" w:w="120"/>
            </w:tcMar>
            <w:vAlign w:val="center"/>
          </w:tcPr>
          <w:p>
            <w:r>
              <w:rPr>
                <w:b/>
                <w:bCs/>
                <w:color w:val="222222"/>
                <w:sz w:val="19"/>
                <w:szCs w:val="19"/>
              </w:rPr>
              <w:t xml:space="preserve">File</w:t>
            </w:r>
          </w:p>
        </w:tc>
        <w:tc>
          <w:tcPr>
            <w:tcW w:type="dxa" w:w="5400"/>
            <w:shd w:fill="F4F5F7" w:val="clear"/>
            <w:tcMar>
              <w:top w:type="dxa" w:w="100"/>
              <w:left w:type="dxa" w:w="120"/>
              <w:bottom w:type="dxa" w:w="100"/>
              <w:right w:type="dxa" w:w="120"/>
            </w:tcMar>
            <w:vAlign w:val="center"/>
          </w:tcPr>
          <w:p>
            <w:r>
              <w:rPr>
                <w:b/>
                <w:bCs/>
                <w:color w:val="222222"/>
                <w:sz w:val="19"/>
                <w:szCs w:val="19"/>
              </w:rPr>
              <w:t xml:space="preserve">Purpose</w:t>
            </w:r>
          </w:p>
        </w:tc>
      </w:tr>
      <w:tr>
        <w:tc>
          <w:tcPr>
            <w:tcW w:type="dxa" w:w="4000"/>
            <w:tcMar>
              <w:top w:type="dxa" w:w="100"/>
              <w:left w:type="dxa" w:w="120"/>
              <w:bottom w:type="dxa" w:w="100"/>
              <w:right w:type="dxa" w:w="120"/>
            </w:tcMar>
            <w:vAlign w:val="center"/>
          </w:tcPr>
          <w:p>
            <w:r>
              <w:rPr>
                <w:b w:val="false"/>
                <w:bCs w:val="false"/>
                <w:color w:val="222222"/>
                <w:sz w:val="19"/>
                <w:szCs w:val="19"/>
              </w:rPr>
              <w:t xml:space="preserve">manifest.json</w:t>
            </w:r>
          </w:p>
        </w:tc>
        <w:tc>
          <w:tcPr>
            <w:tcW w:type="dxa" w:w="5400"/>
            <w:tcMar>
              <w:top w:type="dxa" w:w="100"/>
              <w:left w:type="dxa" w:w="120"/>
              <w:bottom w:type="dxa" w:w="100"/>
              <w:right w:type="dxa" w:w="120"/>
            </w:tcMar>
            <w:vAlign w:val="center"/>
          </w:tcPr>
          <w:p>
            <w:r>
              <w:rPr>
                <w:b w:val="false"/>
                <w:bCs w:val="false"/>
                <w:color w:val="222222"/>
                <w:sz w:val="19"/>
                <w:szCs w:val="19"/>
              </w:rPr>
              <w:t xml:space="preserve">Web app manifest — Section 5</w:t>
            </w:r>
          </w:p>
        </w:tc>
      </w:tr>
      <w:tr>
        <w:tc>
          <w:tcPr>
            <w:tcW w:type="dxa" w:w="4000"/>
            <w:tcMar>
              <w:top w:type="dxa" w:w="100"/>
              <w:left w:type="dxa" w:w="120"/>
              <w:bottom w:type="dxa" w:w="100"/>
              <w:right w:type="dxa" w:w="120"/>
            </w:tcMar>
            <w:vAlign w:val="center"/>
          </w:tcPr>
          <w:p>
            <w:r>
              <w:rPr>
                <w:b w:val="false"/>
                <w:bCs w:val="false"/>
                <w:color w:val="222222"/>
                <w:sz w:val="19"/>
                <w:szCs w:val="19"/>
              </w:rPr>
              <w:t xml:space="preserve">nearby-mark.svg</w:t>
            </w:r>
          </w:p>
        </w:tc>
        <w:tc>
          <w:tcPr>
            <w:tcW w:type="dxa" w:w="5400"/>
            <w:tcMar>
              <w:top w:type="dxa" w:w="100"/>
              <w:left w:type="dxa" w:w="120"/>
              <w:bottom w:type="dxa" w:w="100"/>
              <w:right w:type="dxa" w:w="120"/>
            </w:tcMar>
            <w:vAlign w:val="center"/>
          </w:tcPr>
          <w:p>
            <w:r>
              <w:rPr>
                <w:b w:val="false"/>
                <w:bCs w:val="false"/>
                <w:color w:val="222222"/>
                <w:sz w:val="19"/>
                <w:szCs w:val="19"/>
              </w:rPr>
              <w:t xml:space="preserve">Primary icon source (rounded-square background)</w:t>
            </w:r>
          </w:p>
        </w:tc>
      </w:tr>
      <w:tr>
        <w:tc>
          <w:tcPr>
            <w:tcW w:type="dxa" w:w="4000"/>
            <w:tcMar>
              <w:top w:type="dxa" w:w="100"/>
              <w:left w:type="dxa" w:w="120"/>
              <w:bottom w:type="dxa" w:w="100"/>
              <w:right w:type="dxa" w:w="120"/>
            </w:tcMar>
            <w:vAlign w:val="center"/>
          </w:tcPr>
          <w:p>
            <w:r>
              <w:rPr>
                <w:b w:val="false"/>
                <w:bCs w:val="false"/>
                <w:color w:val="222222"/>
                <w:sz w:val="19"/>
                <w:szCs w:val="19"/>
              </w:rPr>
              <w:t xml:space="preserve">nearby-mark-maskable.svg</w:t>
            </w:r>
          </w:p>
        </w:tc>
        <w:tc>
          <w:tcPr>
            <w:tcW w:type="dxa" w:w="5400"/>
            <w:tcMar>
              <w:top w:type="dxa" w:w="100"/>
              <w:left w:type="dxa" w:w="120"/>
              <w:bottom w:type="dxa" w:w="100"/>
              <w:right w:type="dxa" w:w="120"/>
            </w:tcMar>
            <w:vAlign w:val="center"/>
          </w:tcPr>
          <w:p>
            <w:r>
              <w:rPr>
                <w:b w:val="false"/>
                <w:bCs w:val="false"/>
                <w:color w:val="222222"/>
                <w:sz w:val="19"/>
                <w:szCs w:val="19"/>
              </w:rPr>
              <w:t xml:space="preserve">Maskable icon source (full-bleed, safe-zone glyph)</w:t>
            </w:r>
          </w:p>
        </w:tc>
      </w:tr>
      <w:tr>
        <w:tc>
          <w:tcPr>
            <w:tcW w:type="dxa" w:w="4000"/>
            <w:tcMar>
              <w:top w:type="dxa" w:w="100"/>
              <w:left w:type="dxa" w:w="120"/>
              <w:bottom w:type="dxa" w:w="100"/>
              <w:right w:type="dxa" w:w="120"/>
            </w:tcMar>
            <w:vAlign w:val="center"/>
          </w:tcPr>
          <w:p>
            <w:r>
              <w:rPr>
                <w:b w:val="false"/>
                <w:bCs w:val="false"/>
                <w:color w:val="222222"/>
                <w:sz w:val="19"/>
                <w:szCs w:val="19"/>
              </w:rPr>
              <w:t xml:space="preserve">nearby-favicon.svg</w:t>
            </w:r>
          </w:p>
        </w:tc>
        <w:tc>
          <w:tcPr>
            <w:tcW w:type="dxa" w:w="5400"/>
            <w:tcMar>
              <w:top w:type="dxa" w:w="100"/>
              <w:left w:type="dxa" w:w="120"/>
              <w:bottom w:type="dxa" w:w="100"/>
              <w:right w:type="dxa" w:w="120"/>
            </w:tcMar>
            <w:vAlign w:val="center"/>
          </w:tcPr>
          <w:p>
            <w:r>
              <w:rPr>
                <w:b w:val="false"/>
                <w:bCs w:val="false"/>
                <w:color w:val="222222"/>
                <w:sz w:val="19"/>
                <w:szCs w:val="19"/>
              </w:rPr>
              <w:t xml:space="preserve">Simplified flat mark, source for favicon renders</w:t>
            </w:r>
          </w:p>
        </w:tc>
      </w:tr>
      <w:tr>
        <w:tc>
          <w:tcPr>
            <w:tcW w:type="dxa" w:w="4000"/>
            <w:tcMar>
              <w:top w:type="dxa" w:w="100"/>
              <w:left w:type="dxa" w:w="120"/>
              <w:bottom w:type="dxa" w:w="100"/>
              <w:right w:type="dxa" w:w="120"/>
            </w:tcMar>
            <w:vAlign w:val="center"/>
          </w:tcPr>
          <w:p>
            <w:r>
              <w:rPr>
                <w:b w:val="false"/>
                <w:bCs w:val="false"/>
                <w:color w:val="222222"/>
                <w:sz w:val="19"/>
                <w:szCs w:val="19"/>
              </w:rPr>
              <w:t xml:space="preserve">icons/*.png, favicon.ico</w:t>
            </w:r>
          </w:p>
        </w:tc>
        <w:tc>
          <w:tcPr>
            <w:tcW w:type="dxa" w:w="5400"/>
            <w:tcMar>
              <w:top w:type="dxa" w:w="100"/>
              <w:left w:type="dxa" w:w="120"/>
              <w:bottom w:type="dxa" w:w="100"/>
              <w:right w:type="dxa" w:w="120"/>
            </w:tcMar>
            <w:vAlign w:val="center"/>
          </w:tcPr>
          <w:p>
            <w:r>
              <w:rPr>
                <w:b w:val="false"/>
                <w:bCs w:val="false"/>
                <w:color w:val="222222"/>
                <w:sz w:val="19"/>
                <w:szCs w:val="19"/>
              </w:rPr>
              <w:t xml:space="preserve">All exported raster sizes — Section 5.2 checklist</w:t>
            </w:r>
          </w:p>
        </w:tc>
      </w:tr>
    </w:tbl>
    <w:p>
      <w:pPr>
        <w:spacing w:after="160"/>
      </w:pPr>
      <w:r>
        <w:rPr>
          <w:i/>
          <w:iCs/>
          <w:color w:val="6B7280"/>
          <w:sz w:val="19"/>
          <w:szCs w:val="19"/>
        </w:rPr>
        <w:t xml:space="preserve">This document and its assets are internally consistent with the NEARBY Master Build Document v2.6.2 — no naming, color, or path here contradicts anything specified there.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NEARBY — Brand &amp; PWA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2f5baa36df3007fc7d38a480b5794961de6aba.png"/><Relationship Id="rId10" Type="http://schemas.openxmlformats.org/officeDocument/2006/relationships/image" Target="media/55bc1ef825f595ff4e63a33410f75d0287b21912.png"/><Relationship Id="rId11" Type="http://schemas.openxmlformats.org/officeDocument/2006/relationships/image" Target="media/990c6589efa7d21042cee048965396dceb3825e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2026-08-10T02:19:03.617Z</dcterms:created>
  <dcterms:modified xsi:type="dcterms:W3CDTF">2026-08-10T02:19:03.617Z</dcterms:modified>
</cp:coreProperties>
</file>

<file path=docProps/custom.xml><?xml version="1.0" encoding="utf-8"?>
<Properties xmlns="http://schemas.openxmlformats.org/officeDocument/2006/custom-properties" xmlns:vt="http://schemas.openxmlformats.org/officeDocument/2006/docPropsVTypes"/>
</file>