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rFonts w:ascii="Inter" w:cs="Inter" w:eastAsia="Inter" w:hAnsi="Inter"/>
          <w:b/>
          <w:bCs/>
          <w:color w:val="00B8A9"/>
          <w:sz w:val="64"/>
          <w:szCs w:val="64"/>
        </w:rPr>
        <w:t xml:space="preserve">NEARBY</w:t>
      </w:r>
    </w:p>
    <w:p>
      <w:pPr>
        <w:spacing w:after="400"/>
        <w:jc w:val="center"/>
      </w:pPr>
      <w:r>
        <w:rPr>
          <w:rFonts w:ascii="Inter" w:cs="Inter" w:eastAsia="Inter" w:hAnsi="Inter"/>
          <w:b/>
          <w:bCs/>
          <w:color w:val="14213D"/>
          <w:sz w:val="40"/>
          <w:szCs w:val="40"/>
        </w:rPr>
        <w:t xml:space="preserve">Shop Dashboard — Reliability &amp; Ratings View</w:t>
      </w:r>
    </w:p>
    <w:p>
      <w:pPr>
        <w:spacing w:after="120"/>
        <w:jc w:val="center"/>
      </w:pPr>
      <w:r>
        <w:rPr>
          <w:rFonts w:ascii="Inter" w:cs="Inter" w:eastAsia="Inter" w:hAnsi="Inter"/>
          <w:i/>
          <w:iCs/>
          <w:color w:val="5B6472"/>
          <w:sz w:val="24"/>
          <w:szCs w:val="24"/>
        </w:rPr>
        <w:t xml:space="preserve">Full Page Build Specification — Content, Layout, Visual Design, Copy, Motion &amp; Data</w:t>
      </w:r>
    </w:p>
    <w:p>
      <w:pPr>
        <w:spacing w:after="60"/>
        <w:jc w:val="center"/>
      </w:pPr>
      <w:r>
        <w:rPr>
          <w:rFonts w:ascii="Inter" w:cs="Inter" w:eastAsia="Inter" w:hAnsi="Inter"/>
          <w:color w:val="5B6472"/>
          <w:sz w:val="22"/>
          <w:szCs w:val="22"/>
        </w:rPr>
        <w:t xml:space="preserve">Version 1.0</w:t>
      </w:r>
    </w:p>
    <w:p>
      <w:pPr>
        <w:spacing w:after="60"/>
        <w:jc w:val="center"/>
      </w:pPr>
      <w:r>
        <w:rPr>
          <w:rFonts w:ascii="Inter" w:cs="Inter" w:eastAsia="Inter" w:hAnsi="Inter"/>
          <w:color w:val="5B6472"/>
          <w:sz w:val="20"/>
          <w:szCs w:val="20"/>
        </w:rPr>
        <w:t xml:space="preserve">Companion to: NEARBY Master Build Document v2.6.2 (§3.1.1, §3.1.2, §4.2, §4.5) · NEARBY Brand &amp; PWA Guide v1.0 · NEARBY Page Architecture &amp; Competitor Analysis (§2.8)</w:t>
      </w:r>
    </w:p>
    <w:p>
      <w:pPr>
        <w:spacing w:after="1000"/>
        <w:jc w:val="center"/>
      </w:pPr>
      <w:r>
        <w:rPr>
          <w:rFonts w:ascii="Inter" w:cs="Inter" w:eastAsia="Inter" w:hAnsi="Inter"/>
          <w:color w:val="5B6472"/>
          <w:sz w:val="20"/>
          <w:szCs w:val="20"/>
        </w:rPr>
        <w:t xml:space="preserve">Surface: /shop/* — Teal-forward · Role: shop</w:t>
      </w:r>
    </w:p>
    <w:p>
      <w:r>
        <w:br w:type="page"/>
      </w:r>
    </w:p>
    <w:p>
      <w:pPr>
        <w:pStyle w:val="Heading1"/>
        <w:spacing w:after="200" w:before="400"/>
      </w:pPr>
      <w:r>
        <w:t xml:space="preserve">0. Scope &amp; How to Use This Document</w:t>
      </w:r>
    </w:p>
    <w:p>
      <w:pPr>
        <w:spacing w:after="160"/>
      </w:pPr>
      <w:r>
        <w:rPr>
          <w:rFonts w:ascii="Inter" w:cs="Inter" w:eastAsia="Inter" w:hAnsi="Inter"/>
          <w:sz w:val="22"/>
          <w:szCs w:val="22"/>
        </w:rPr>
        <w:t xml:space="preserve">This document specifies everything required to design and build the Reliability &amp; Ratings view, page 2.8 in the Page Architecture &amp; Competitor Analysis document. It is a read-only reporting screen — the shop owner's window into how the platform actually scores them — pattern-sourced from the Zomato Restaurant Partner app's business-reporting tile set and Zepto Franchise's KPI dashboard ("Order Breaches, Defects"), reused here at the individual-shop level rather than the operator/dark-store level those two apps apply it at (Page Architecture doc §2.8, pattern source).</w:t>
      </w:r>
    </w:p>
    <w:p>
      <w:pPr>
        <w:spacing w:after="160"/>
      </w:pPr>
      <w:r>
        <w:rPr>
          <w:rFonts w:ascii="Inter" w:cs="Inter" w:eastAsia="Inter" w:hAnsi="Inter"/>
          <w:sz w:val="22"/>
          <w:szCs w:val="22"/>
        </w:rPr>
        <w:t xml:space="preserve">This page's entire content is derived from numbers the Master Build Document already defines precisely — the reliabilityScore formula (§3.1.2) and the shops schema fields that feed it (§4.2) — so unlike the Rush-Hour Toggle specification, this document introduces no new data fields, no new endpoints, and no new business logic. Its job is purely to make an already-precise formula legible and trustworthy to a shop owner with, per the Brand Guide's own assumption, low technical proficiency (Brand Guide §1.4).</w:t>
      </w:r>
    </w:p>
    <w:p>
      <w:pPr>
        <w:spacing w:after="160"/>
      </w:pPr>
      <w:r>
        <w:rPr>
          <w:rFonts w:ascii="Inter" w:cs="Inter" w:eastAsia="Inter" w:hAnsi="Inter"/>
          <w:b/>
          <w:bCs/>
          <w:sz w:val="22"/>
          <w:szCs w:val="22"/>
        </w:rPr>
        <w:t xml:space="preserve">Nothing in this document contradicts </w:t>
      </w:r>
      <w:r>
        <w:rPr>
          <w:rFonts w:ascii="Inter" w:cs="Inter" w:eastAsia="Inter" w:hAnsi="Inter"/>
          <w:sz w:val="22"/>
          <w:szCs w:val="22"/>
        </w:rPr>
        <w:t xml:space="preserve">the Master Build Document v2.6.2 or the Brand &amp; PWA Guide v1.0 — every number shown on this page is read directly from the existing </w:t>
      </w:r>
      <w:r>
        <w:rPr>
          <w:rFonts w:ascii="Consolas" w:cs="Consolas" w:eastAsia="Consolas" w:hAnsi="Consolas"/>
          <w:color w:val="B4291F"/>
          <w:sz w:val="20"/>
          <w:szCs w:val="20"/>
        </w:rPr>
        <w:t xml:space="preserve">shops</w:t>
      </w:r>
      <w:r>
        <w:rPr>
          <w:rFonts w:ascii="Inter" w:cs="Inter" w:eastAsia="Inter" w:hAnsi="Inter"/>
          <w:sz w:val="22"/>
          <w:szCs w:val="22"/>
        </w:rPr>
        <w:t xml:space="preserve"> collection (§4.2) and computed exactly as specified in §3.1.2, with no new calculation performed client-side.</w:t>
      </w:r>
    </w:p>
    <w:p>
      <w:pPr>
        <w:pStyle w:val="Heading1"/>
        <w:spacing w:after="200" w:before="400"/>
      </w:pPr>
      <w:r>
        <w:t xml:space="preserve">1. Overview &amp; Purpose</w:t>
      </w:r>
    </w:p>
    <w:p>
      <w:pPr>
        <w:pStyle w:val="Heading2"/>
        <w:spacing w:after="150" w:before="300"/>
      </w:pPr>
      <w:r>
        <w:t xml:space="preserve">1.1 — What it is</w:t>
      </w:r>
    </w:p>
    <w:p>
      <w:pPr>
        <w:spacing w:after="160"/>
      </w:pPr>
      <w:r>
        <w:rPr>
          <w:rFonts w:ascii="Inter" w:cs="Inter" w:eastAsia="Inter" w:hAnsi="Inter"/>
          <w:sz w:val="22"/>
          <w:szCs w:val="22"/>
        </w:rPr>
        <w:t xml:space="preserve">A read-only dashboard screen showing a shop's current reliabilityScore, avgRating, and the underlying found/not-found breakdown that produces them — plus a plain-language explainer of the formula itself, so the number never feels arbitrary. It is the direct answer to "why is my score what it is, and what would improve it," which the Master Build Document's own corrections log (§3.1.2, NEW v2.6.1) notes was previously undefined anywhere in the product.</w:t>
      </w:r>
    </w:p>
    <w:p>
      <w:pPr>
        <w:pStyle w:val="Heading2"/>
        <w:spacing w:after="150" w:before="300"/>
      </w:pPr>
      <w:r>
        <w:t xml:space="preserve">1.2 — Why transparency matters here specifically</w:t>
      </w:r>
    </w:p>
    <w:p>
      <w:pPr>
        <w:spacing w:after="160"/>
      </w:pPr>
      <w:r>
        <w:rPr>
          <w:rFonts w:ascii="Inter" w:cs="Inter" w:eastAsia="Inter" w:hAnsi="Inter"/>
          <w:sz w:val="22"/>
          <w:szCs w:val="22"/>
        </w:rPr>
        <w:t xml:space="preserve">Master Build Document §3.1.1 uses reliabilityScore to rank a shop's position on every customer's shortlist — it is a number with direct commercial consequence for the shop owner, not a vanity metric. Brand Guide §1.4 sets the voice standard for the entire shop surface as "respectful of shopkeepers' time" and assumes low technical proficiency; a formula involving weighted percentages (§3.1.2's 0.7/0.3 split) needs deliberate translation into plain language on this page, not just a raw number, or the transparency the formula itself was designed to provide is lost at the last step.</w:t>
      </w:r>
    </w:p>
    <w:p>
      <w:pPr>
        <w:pStyle w:val="Heading2"/>
        <w:spacing w:after="150" w:before="300"/>
      </w:pPr>
      <w:r>
        <w:t xml:space="preserve">1.3 — What this page explicitly does not do</w:t>
      </w:r>
    </w:p>
    <w:p>
      <w:pPr>
        <w:pStyle w:val="ListParagraph"/>
        <w:numPr>
          <w:ilvl w:val="0"/>
          <w:numId w:val="1"/>
        </w:numPr>
        <w:spacing w:after="90"/>
      </w:pPr>
      <w:r>
        <w:t xml:space="preserve">It never lets the shop owner dispute, edit, or manually adjust any figure — every number here is server-computed and read-only, matching the page's role as a reporting screen, not a moderation or appeals interface (that path, if any, runs through Help Centre / Raise a ticket, page 2.12, not this page).</w:t>
      </w:r>
    </w:p>
    <w:p>
      <w:pPr>
        <w:pStyle w:val="ListParagraph"/>
        <w:numPr>
          <w:ilvl w:val="0"/>
          <w:numId w:val="1"/>
        </w:numPr>
        <w:spacing w:after="90"/>
      </w:pPr>
      <w:r>
        <w:t xml:space="preserve">It does not show which specific customer left which specific rating attached to their identity — feedback.note (§4.5) may be shown as anonymized text, but customerId is never exposed to the shop, consistent with the platform not being a two-way public review site.</w:t>
      </w:r>
    </w:p>
    <w:p>
      <w:pPr>
        <w:pStyle w:val="ListParagraph"/>
        <w:numPr>
          <w:ilvl w:val="0"/>
          <w:numId w:val="1"/>
        </w:numPr>
        <w:spacing w:after="90"/>
      </w:pPr>
      <w:r>
        <w:t xml:space="preserve">It does not affect matching directly — this is a display layer over data that already drives §3.1.1's shortlist ranking; nothing on this page changes shop behavior server-side.</w:t>
      </w:r>
    </w:p>
    <w:p>
      <w:pPr>
        <w:pStyle w:val="Heading2"/>
        <w:spacing w:after="150" w:before="300"/>
      </w:pPr>
      <w:r>
        <w:t xml:space="preserve">1.4 — User story</w:t>
      </w:r>
    </w:p>
    <w:p>
      <w:pPr>
        <w:spacing w:after="160"/>
      </w:pPr>
      <w:r>
        <w:rPr>
          <w:rFonts w:ascii="Inter" w:cs="Inter" w:eastAsia="Inter" w:hAnsi="Inter"/>
          <w:i/>
          <w:iCs/>
          <w:sz w:val="22"/>
          <w:szCs w:val="22"/>
        </w:rPr>
        <w:t xml:space="preserve">"As a shop owner, I want to see my reliability score and understand exactly what it's made of — not just a number, but what I could do differently to improve it — so I can trust that saying Yes and actually being found is what gets rewarded."</w:t>
      </w:r>
    </w:p>
    <w:p>
      <w:pPr>
        <w:pStyle w:val="Heading2"/>
        <w:spacing w:after="150" w:before="300"/>
      </w:pPr>
      <w:r>
        <w:t xml:space="preserve">1.5 — Pattern source</w:t>
      </w:r>
    </w:p>
    <w:p>
      <w:pPr>
        <w:spacing w:after="160"/>
      </w:pPr>
      <w:r>
        <w:rPr>
          <w:rFonts w:ascii="Inter" w:cs="Inter" w:eastAsia="Inter" w:hAnsi="Inter"/>
          <w:sz w:val="22"/>
          <w:szCs w:val="22"/>
        </w:rPr>
        <w:t xml:space="preserve">Inspired by: Zomato Partner's business-reporting tile set and Zepto Franchise's KPI dashboard ("Order Breaches, Defects" tiles), reused at the platform level instead of per-outlet in NEARBY's simpler single-metric model — NEARBY has one composite score rather than the multiple operational KPIs (prep time, cancellation rate, order defects) those two apps track, since NEARBY has no fulfillment or delivery leg to measure (Page Architecture doc §0, §5).</w:t>
      </w:r>
    </w:p>
    <w:p>
      <w:pPr>
        <w:pStyle w:val="Heading1"/>
        <w:spacing w:after="200" w:before="400"/>
      </w:pPr>
      <w:r>
        <w:t xml:space="preserve">2. Functional Specification</w:t>
      </w:r>
    </w:p>
    <w:p>
      <w:pPr>
        <w:pStyle w:val="Heading2"/>
        <w:spacing w:after="150" w:before="300"/>
      </w:pPr>
      <w:r>
        <w:t xml:space="preserve">2.1 — Data this page reads (all read-only, no writes)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0%"/>
            <w:shd w:fill="14213D" w:val="clear"/>
            <w:tcMar>
              <w:top w:type="dxa" w:w="80"/>
              <w:left w:type="dxa" w:w="100"/>
              <w:bottom w:type="dxa" w:w="80"/>
              <w:right w:type="dxa" w:w="100"/>
            </w:tcMar>
            <w:vAlign w:val="center"/>
          </w:tcPr>
          <w:p>
            <w:r>
              <w:rPr>
                <w:rFonts w:ascii="Inter" w:cs="Inter" w:eastAsia="Inter" w:hAnsi="Inter"/>
                <w:b/>
                <w:bCs/>
                <w:color w:val="FFFFFF"/>
                <w:sz w:val="19"/>
                <w:szCs w:val="19"/>
              </w:rPr>
              <w:t xml:space="preserve">Field (from shops, §4.2)</w:t>
            </w:r>
          </w:p>
        </w:tc>
        <w:tc>
          <w:tcPr>
            <w:tcW w:type="pct" w:w="18%"/>
            <w:shd w:fill="14213D" w:val="clear"/>
            <w:tcMar>
              <w:top w:type="dxa" w:w="80"/>
              <w:left w:type="dxa" w:w="100"/>
              <w:bottom w:type="dxa" w:w="80"/>
              <w:right w:type="dxa" w:w="100"/>
            </w:tcMar>
            <w:vAlign w:val="center"/>
          </w:tcPr>
          <w:p>
            <w:r>
              <w:rPr>
                <w:rFonts w:ascii="Inter" w:cs="Inter" w:eastAsia="Inter" w:hAnsi="Inter"/>
                <w:b/>
                <w:bCs/>
                <w:color w:val="FFFFFF"/>
                <w:sz w:val="19"/>
                <w:szCs w:val="19"/>
              </w:rPr>
              <w:t xml:space="preserve">Type</w:t>
            </w:r>
          </w:p>
        </w:tc>
        <w:tc>
          <w:tcPr>
            <w:tcW w:type="pct" w:w="52%"/>
            <w:shd w:fill="14213D" w:val="clear"/>
            <w:tcMar>
              <w:top w:type="dxa" w:w="80"/>
              <w:left w:type="dxa" w:w="100"/>
              <w:bottom w:type="dxa" w:w="80"/>
              <w:right w:type="dxa" w:w="100"/>
            </w:tcMar>
            <w:vAlign w:val="center"/>
          </w:tcPr>
          <w:p>
            <w:r>
              <w:rPr>
                <w:rFonts w:ascii="Inter" w:cs="Inter" w:eastAsia="Inter" w:hAnsi="Inter"/>
                <w:b/>
                <w:bCs/>
                <w:color w:val="FFFFFF"/>
                <w:sz w:val="19"/>
                <w:szCs w:val="19"/>
              </w:rPr>
              <w:t xml:space="preserve">Shown on this page as</w:t>
            </w:r>
          </w:p>
        </w:tc>
      </w:tr>
      <w:tr>
        <w:tc>
          <w:tcPr>
            <w:tcW w:type="pct" w:w="30%"/>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reliabilityScore</w:t>
            </w:r>
          </w:p>
        </w:tc>
        <w:tc>
          <w:tcPr>
            <w:tcW w:type="pct" w:w="18%"/>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Number, 0–100, default 50</w:t>
            </w:r>
          </w:p>
        </w:tc>
        <w:tc>
          <w:tcPr>
            <w:tcW w:type="pct" w:w="52%"/>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The headline score — large numeral, top of page</w:t>
            </w:r>
          </w:p>
        </w:tc>
      </w:tr>
      <w:tr>
        <w:tc>
          <w:tcPr>
            <w:tcW w:type="pct" w:w="30%"/>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avgRating</w:t>
            </w:r>
          </w:p>
        </w:tc>
        <w:tc>
          <w:tcPr>
            <w:tcW w:type="pct" w:w="18%"/>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Number, 1.0–5.0, null until first feedback</w:t>
            </w:r>
          </w:p>
        </w:tc>
        <w:tc>
          <w:tcPr>
            <w:tcW w:type="pct" w:w="52%"/>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Star rating display; null state handled explicitly (§4.1, §9)</w:t>
            </w:r>
          </w:p>
        </w:tc>
      </w:tr>
      <w:tr>
        <w:tc>
          <w:tcPr>
            <w:tcW w:type="pct" w:w="30%"/>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foundCount / notFoundCount</w:t>
            </w:r>
          </w:p>
        </w:tc>
        <w:tc>
          <w:tcPr>
            <w:tcW w:type="pct" w:w="18%"/>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Number, default 0</w:t>
            </w:r>
          </w:p>
        </w:tc>
        <w:tc>
          <w:tcPr>
            <w:tcW w:type="pct" w:w="52%"/>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"Found" vs. "Not found" breakdown — bar or split-stat display (§4.2)</w:t>
            </w:r>
          </w:p>
        </w:tc>
      </w:tr>
      <w:tr>
        <w:tc>
          <w:tcPr>
            <w:tcW w:type="pct" w:w="30%"/>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avgResponseSeconds</w:t>
            </w:r>
          </w:p>
        </w:tc>
        <w:tc>
          <w:tcPr>
            <w:tcW w:type="pct" w:w="18%"/>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Number</w:t>
            </w:r>
          </w:p>
        </w:tc>
        <w:tc>
          <w:tcPr>
            <w:tcW w:type="pct" w:w="52%"/>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"Average response time" stat, converted to a human-readable duration (e.g. "18 sec") rather than raw seconds</w:t>
            </w:r>
          </w:p>
        </w:tc>
      </w:tr>
      <w:tr>
        <w:tc>
          <w:tcPr>
            <w:tcW w:type="pct" w:w="30%"/>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totalYes</w:t>
            </w:r>
          </w:p>
        </w:tc>
        <w:tc>
          <w:tcPr>
            <w:tcW w:type="pct" w:w="18%"/>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Number, default 0</w:t>
            </w:r>
          </w:p>
        </w:tc>
        <w:tc>
          <w:tcPr>
            <w:tcW w:type="pct" w:w="52%"/>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Context stat — total Yes responses ever given, shown as a secondary/supporting figure, not part of the score breakdown itself</w:t>
            </w:r>
          </w:p>
        </w:tc>
      </w:tr>
    </w:tbl>
    <w:p>
      <w:pPr>
        <w:spacing w:after="160"/>
      </w:pPr>
      <w:r>
        <w:rPr>
          <w:rFonts w:ascii="Inter" w:cs="Inter" w:eastAsia="Inter" w:hAnsi="Inter"/>
          <w:sz w:val="22"/>
          <w:szCs w:val="22"/>
        </w:rPr>
        <w:t xml:space="preserve">No new fields, no new endpoints. This page is served by the same GET /api/v1/shops/me call (Master Build Document §5.3) already used to render the rest of the Shop Dashboard — every figure above is already present in that response body.</w:t>
      </w:r>
    </w:p>
    <w:p>
      <w:pPr>
        <w:pStyle w:val="Heading2"/>
        <w:spacing w:after="150" w:before="300"/>
      </w:pPr>
      <w:r>
        <w:t xml:space="preserve">2.2 — Restating the formula this page must explain (from Master Build Document §3.1.2)</w:t>
      </w:r>
    </w:p>
    <w:p>
      <w:pPr>
        <w:pStyle w:val="ListParagraph"/>
        <w:numPr>
          <w:ilvl w:val="0"/>
          <w:numId w:val="1"/>
        </w:numPr>
        <w:spacing w:after="90"/>
      </w:pPr>
      <w:r>
        <w:t xml:space="preserve">Scope: only visits the customer both selected and submitted feedback for count toward the score — an unselected Yes, or a selection never rated, has zero effect.</w:t>
      </w:r>
    </w:p>
    <w:p>
      <w:pPr>
        <w:pStyle w:val="ListParagraph"/>
        <w:numPr>
          <w:ilvl w:val="0"/>
          <w:numId w:val="1"/>
        </w:numPr>
        <w:spacing w:after="90"/>
      </w:pPr>
      <w:r>
        <w:t xml:space="preserve">confirmedFoundRate = foundCount / (foundCount + notFoundCount)</w:t>
      </w:r>
    </w:p>
    <w:p>
      <w:pPr>
        <w:pStyle w:val="ListParagraph"/>
        <w:numPr>
          <w:ilvl w:val="0"/>
          <w:numId w:val="1"/>
        </w:numPr>
        <w:spacing w:after="90"/>
      </w:pPr>
      <w:r>
        <w:t xml:space="preserve">speedScore = max(0, 1 − avgResponseSeconds / responseWindowSeconds) — responding instantly scores 1.0, responding right at window close scores 0.0</w:t>
      </w:r>
    </w:p>
    <w:p>
      <w:pPr>
        <w:pStyle w:val="ListParagraph"/>
        <w:numPr>
          <w:ilvl w:val="0"/>
          <w:numId w:val="1"/>
        </w:numPr>
        <w:spacing w:after="90"/>
      </w:pPr>
      <w:r>
        <w:t xml:space="preserve">reliabilityScore = round(100 × (0.7 × confirmedFoundRate + 0.3 × speedScore)), clamped to 0–100</w:t>
      </w:r>
    </w:p>
    <w:p>
      <w:pPr>
        <w:pStyle w:val="ListParagraph"/>
        <w:numPr>
          <w:ilvl w:val="0"/>
          <w:numId w:val="1"/>
        </w:numPr>
        <w:spacing w:after="90"/>
      </w:pPr>
      <w:r>
        <w:t xml:space="preserve">A shop with zero rated visits keeps the schema default of 50 rather than dividing by zero (§3.1.2) — this page's zero-history empty state (§4.5) must make that default legible as "not yet scored" rather than implying an actual middling performance.</w:t>
      </w:r>
    </w:p>
    <w:p>
      <w:pPr>
        <w:pStyle w:val="Heading2"/>
        <w:spacing w:after="150" w:before="300"/>
      </w:pPr>
      <w:r>
        <w:t xml:space="preserve">2.3 — Recompute timing (read-only context, not built here)</w:t>
      </w:r>
    </w:p>
    <w:p>
      <w:pPr>
        <w:spacing w:after="160"/>
      </w:pPr>
      <w:r>
        <w:rPr>
          <w:rFonts w:ascii="Inter" w:cs="Inter" w:eastAsia="Inter" w:hAnsi="Inter"/>
          <w:sz w:val="22"/>
          <w:szCs w:val="22"/>
        </w:rPr>
        <w:t xml:space="preserve">reliabilityScore is recalculated by services/reliability.js immediately after every POST /requests/:id/feedback call (§3.1.2) — this page never triggers a recalculation itself; it simply displays whatever the server most recently computed, refreshed on page load and on pull-to-refresh (§7).</w:t>
      </w:r>
    </w:p>
    <w:p>
      <w:pPr>
        <w:pStyle w:val="Heading2"/>
        <w:spacing w:after="150" w:before="300"/>
      </w:pPr>
      <w:r>
        <w:t xml:space="preserve">2.4 — What counts toward the score vs. what's shown for context only</w:t>
      </w:r>
    </w:p>
    <w:p>
      <w:pPr>
        <w:spacing w:after="160"/>
      </w:pPr>
      <w:r>
        <w:rPr>
          <w:rFonts w:ascii="Inter" w:cs="Inter" w:eastAsia="Inter" w:hAnsi="Inter"/>
          <w:sz w:val="22"/>
          <w:szCs w:val="22"/>
        </w:rPr>
        <w:t xml:space="preserve">A common point of shop-owner confusion the formula's own scope rule (§2.2 above) anticipates: totalYes includes every Yes ever given, including ones never selected — but only selected-and-rated visits move the score. This page must visually separate "figures that make up your score" from "figures shown for context only" (§4.2, §4.3), or a shop owner could reasonably but incorrectly conclude that answering more Yeses alone raises their score.</w:t>
      </w:r>
    </w:p>
    <w:p>
      <w:pPr>
        <w:pStyle w:val="Heading1"/>
        <w:spacing w:after="200" w:before="400"/>
      </w:pPr>
      <w:r>
        <w:t xml:space="preserve">3. Where It Lives</w:t>
      </w:r>
    </w:p>
    <w:p>
      <w:pPr>
        <w:pStyle w:val="ListParagraph"/>
        <w:numPr>
          <w:ilvl w:val="0"/>
          <w:numId w:val="1"/>
        </w:numPr>
        <w:spacing w:after="90"/>
      </w:pPr>
      <w:r>
        <w:t xml:space="preserve">Entry point: Shop Dashboard nav → "Reliability" tab (alongside Home, Outlet, Requests — same nav level as the Live Dashboard, page 2.4)</w:t>
      </w:r>
    </w:p>
    <w:p>
      <w:pPr>
        <w:pStyle w:val="ListParagraph"/>
        <w:numPr>
          <w:ilvl w:val="0"/>
          <w:numId w:val="1"/>
        </w:numPr>
        <w:spacing w:after="90"/>
      </w:pPr>
      <w:r>
        <w:t xml:space="preserve">Also reachable via a "View details" link from the Live Dashboard's own compact reliability-score summary (page 2.4 shows "current reliability score" inline; this page is where that number is explained in full)</w:t>
      </w:r>
    </w:p>
    <w:p>
      <w:pPr>
        <w:pStyle w:val="ListParagraph"/>
        <w:numPr>
          <w:ilvl w:val="0"/>
          <w:numId w:val="1"/>
        </w:numPr>
        <w:spacing w:after="90"/>
      </w:pPr>
      <w:r>
        <w:t xml:space="preserve">Also referenced, one-way, from the Rush-Hour Toggle specification's §4.8 (the "Rush hour used N times this week" usage note lives inside this page, appended below the main score content, §4.6 below) — that note travels with this page, not the other way around</w:t>
      </w:r>
    </w:p>
    <w:p>
      <w:pPr>
        <w:pStyle w:val="ListParagraph"/>
        <w:numPr>
          <w:ilvl w:val="0"/>
          <w:numId w:val="1"/>
        </w:numPr>
        <w:spacing w:after="90"/>
      </w:pPr>
      <w:r>
        <w:t xml:space="preserve">No admin-console equivalent route — this is a shop-only self-view; admin sees the same underlying numbers through the All Shops directory instead (Page Architecture page 3.4, see §11)</w:t>
      </w:r>
    </w:p>
    <w:p>
      <w:pPr>
        <w:pStyle w:val="Heading1"/>
        <w:spacing w:after="200" w:before="400"/>
      </w:pPr>
      <w:r>
        <w:t xml:space="preserve">4. Section-by-Section Content &amp; Layout</w:t>
      </w:r>
    </w:p>
    <w:p>
      <w:pPr>
        <w:pStyle w:val="Heading2"/>
        <w:spacing w:after="150" w:before="300"/>
      </w:pPr>
      <w:r>
        <w:t xml:space="preserve">4.1 — Headline score card</w:t>
      </w:r>
    </w:p>
    <w:p>
      <w:pPr>
        <w:spacing w:after="160"/>
      </w:pPr>
      <w:r>
        <w:rPr>
          <w:rFonts w:ascii="Inter" w:cs="Inter" w:eastAsia="Inter" w:hAnsi="Inter"/>
          <w:sz w:val="22"/>
          <w:szCs w:val="22"/>
        </w:rPr>
        <w:t xml:space="preserve">The first thing on the page, full-width, prominent — this is the number a shop owner opens the page to see.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2%"/>
            <w:shd w:fill="14213D" w:val="clear"/>
            <w:tcMar>
              <w:top w:type="dxa" w:w="80"/>
              <w:left w:type="dxa" w:w="100"/>
              <w:bottom w:type="dxa" w:w="80"/>
              <w:right w:type="dxa" w:w="100"/>
            </w:tcMar>
            <w:vAlign w:val="center"/>
          </w:tcPr>
          <w:p>
            <w:r>
              <w:rPr>
                <w:rFonts w:ascii="Inter" w:cs="Inter" w:eastAsia="Inter" w:hAnsi="Inter"/>
                <w:b/>
                <w:bCs/>
                <w:color w:val="FFFFFF"/>
                <w:sz w:val="19"/>
                <w:szCs w:val="19"/>
              </w:rPr>
              <w:t xml:space="preserve">Element</w:t>
            </w:r>
          </w:p>
        </w:tc>
        <w:tc>
          <w:tcPr>
            <w:tcW w:type="pct" w:w="34%"/>
            <w:shd w:fill="14213D" w:val="clear"/>
            <w:tcMar>
              <w:top w:type="dxa" w:w="80"/>
              <w:left w:type="dxa" w:w="100"/>
              <w:bottom w:type="dxa" w:w="80"/>
              <w:right w:type="dxa" w:w="100"/>
            </w:tcMar>
            <w:vAlign w:val="center"/>
          </w:tcPr>
          <w:p>
            <w:r>
              <w:rPr>
                <w:rFonts w:ascii="Inter" w:cs="Inter" w:eastAsia="Inter" w:hAnsi="Inter"/>
                <w:b/>
                <w:bCs/>
                <w:color w:val="FFFFFF"/>
                <w:sz w:val="19"/>
                <w:szCs w:val="19"/>
              </w:rPr>
              <w:t xml:space="preserve">Content / Copy</w:t>
            </w:r>
          </w:p>
        </w:tc>
        <w:tc>
          <w:tcPr>
            <w:tcW w:type="pct" w:w="20%"/>
            <w:shd w:fill="14213D" w:val="clear"/>
            <w:tcMar>
              <w:top w:type="dxa" w:w="80"/>
              <w:left w:type="dxa" w:w="100"/>
              <w:bottom w:type="dxa" w:w="80"/>
              <w:right w:type="dxa" w:w="100"/>
            </w:tcMar>
            <w:vAlign w:val="center"/>
          </w:tcPr>
          <w:p>
            <w:r>
              <w:rPr>
                <w:rFonts w:ascii="Inter" w:cs="Inter" w:eastAsia="Inter" w:hAnsi="Inter"/>
                <w:b/>
                <w:bCs/>
                <w:color w:val="FFFFFF"/>
                <w:sz w:val="19"/>
                <w:szCs w:val="19"/>
              </w:rPr>
              <w:t xml:space="preserve">Type role</w:t>
            </w:r>
          </w:p>
        </w:tc>
        <w:tc>
          <w:tcPr>
            <w:tcW w:type="pct" w:w="24%"/>
            <w:shd w:fill="14213D" w:val="clear"/>
            <w:tcMar>
              <w:top w:type="dxa" w:w="80"/>
              <w:left w:type="dxa" w:w="100"/>
              <w:bottom w:type="dxa" w:w="80"/>
              <w:right w:type="dxa" w:w="100"/>
            </w:tcMar>
            <w:vAlign w:val="center"/>
          </w:tcPr>
          <w:p>
            <w:r>
              <w:rPr>
                <w:rFonts w:ascii="Inter" w:cs="Inter" w:eastAsia="Inter" w:hAnsi="Inter"/>
                <w:b/>
                <w:bCs/>
                <w:color w:val="FFFFFF"/>
                <w:sz w:val="19"/>
                <w:szCs w:val="19"/>
              </w:rPr>
              <w:t xml:space="preserve">Notes</w:t>
            </w:r>
          </w:p>
        </w:tc>
      </w:tr>
      <w:tr>
        <w:tc>
          <w:tcPr>
            <w:tcW w:type="pct" w:w="22%"/>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Page header</w:t>
            </w:r>
          </w:p>
        </w:tc>
        <w:tc>
          <w:tcPr>
            <w:tcW w:type="pct" w:w="34%"/>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"Reliability &amp; ratings"</w:t>
            </w:r>
          </w:p>
        </w:tc>
        <w:tc>
          <w:tcPr>
            <w:tcW w:type="pct" w:w="20%"/>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H1</w:t>
            </w:r>
          </w:p>
        </w:tc>
        <w:tc>
          <w:tcPr>
            <w:tcW w:type="pct" w:w="24%"/>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Gray 900</w:t>
            </w:r>
          </w:p>
        </w:tc>
      </w:tr>
      <w:tr>
        <w:tc>
          <w:tcPr>
            <w:tcW w:type="pct" w:w="22%"/>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Score numeral</w:t>
            </w:r>
          </w:p>
        </w:tc>
        <w:tc>
          <w:tcPr>
            <w:tcW w:type="pct" w:w="34%"/>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e.g. "87" (large numeral, out of 100 shown smaller beside it: "/100")</w:t>
            </w:r>
          </w:p>
        </w:tc>
        <w:tc>
          <w:tcPr>
            <w:tcW w:type="pct" w:w="20%"/>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Display / 700 Bold</w:t>
            </w:r>
          </w:p>
        </w:tc>
        <w:tc>
          <w:tcPr>
            <w:tcW w:type="pct" w:w="24%"/>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Color-coded by band, §5.1 — this is the one place on this page a large Display-role numeral is justified (Brand Guide §4.2 notes Display is "rare — mobile-first layout")</w:t>
            </w:r>
          </w:p>
        </w:tc>
      </w:tr>
      <w:tr>
        <w:tc>
          <w:tcPr>
            <w:tcW w:type="pct" w:w="22%"/>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Score label</w:t>
            </w:r>
          </w:p>
        </w:tc>
        <w:tc>
          <w:tcPr>
            <w:tcW w:type="pct" w:w="34%"/>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"Reliability score"</w:t>
            </w:r>
          </w:p>
        </w:tc>
        <w:tc>
          <w:tcPr>
            <w:tcW w:type="pct" w:w="20%"/>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Caption</w:t>
            </w:r>
          </w:p>
        </w:tc>
        <w:tc>
          <w:tcPr>
            <w:tcW w:type="pct" w:w="24%"/>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Gray 600, sits directly under the numeral</w:t>
            </w:r>
          </w:p>
        </w:tc>
      </w:tr>
      <w:tr>
        <w:tc>
          <w:tcPr>
            <w:tcW w:type="pct" w:w="22%"/>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Default-score explainer (shown only when foundCount + notFoundCount = 0)</w:t>
            </w:r>
          </w:p>
        </w:tc>
        <w:tc>
          <w:tcPr>
            <w:tcW w:type="pct" w:w="34%"/>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"You haven't had a rated visit yet — this starting score isn't a performance rating, it just means you're new. It'll update after your first completed visit."</w:t>
            </w:r>
          </w:p>
        </w:tc>
        <w:tc>
          <w:tcPr>
            <w:tcW w:type="pct" w:w="20%"/>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Caption</w:t>
            </w:r>
          </w:p>
        </w:tc>
        <w:tc>
          <w:tcPr>
            <w:tcW w:type="pct" w:w="24%"/>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Gray 600 — prevents the schema default of 50 (§2.2) from reading as a mediocre score to a brand-new shop</w:t>
            </w:r>
          </w:p>
        </w:tc>
      </w:tr>
      <w:tr>
        <w:tc>
          <w:tcPr>
            <w:tcW w:type="pct" w:w="22%"/>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Star rating</w:t>
            </w:r>
          </w:p>
        </w:tc>
        <w:tc>
          <w:tcPr>
            <w:tcW w:type="pct" w:w="34%"/>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e.g. ★★★★☆ 4.2 (avgRating)</w:t>
            </w:r>
          </w:p>
        </w:tc>
        <w:tc>
          <w:tcPr>
            <w:tcW w:type="pct" w:w="20%"/>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Body / Medium</w:t>
            </w:r>
          </w:p>
        </w:tc>
        <w:tc>
          <w:tcPr>
            <w:tcW w:type="pct" w:w="24%"/>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Warning #FFB627 stars (existing semantic token for star ratings, Brand Guide §3.2), Gray 900 numeral</w:t>
            </w:r>
          </w:p>
        </w:tc>
      </w:tr>
      <w:tr>
        <w:tc>
          <w:tcPr>
            <w:tcW w:type="pct" w:w="22%"/>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Star rating — null state</w:t>
            </w:r>
          </w:p>
        </w:tc>
        <w:tc>
          <w:tcPr>
            <w:tcW w:type="pct" w:w="34%"/>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"No ratings yet" (shown instead of stars when avgRating is null, §4.2 of the Master Build Document)</w:t>
            </w:r>
          </w:p>
        </w:tc>
        <w:tc>
          <w:tcPr>
            <w:tcW w:type="pct" w:w="20%"/>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Caption</w:t>
            </w:r>
          </w:p>
        </w:tc>
        <w:tc>
          <w:tcPr>
            <w:tcW w:type="pct" w:w="24%"/>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Gray 600, replaces the star row entirely rather than showing empty/greyed stars, which could misread as a 0-star rating</w:t>
            </w:r>
          </w:p>
        </w:tc>
      </w:tr>
    </w:tbl>
    <w:p>
      <w:pPr>
        <w:pStyle w:val="Heading2"/>
        <w:spacing w:after="150" w:before="300"/>
      </w:pPr>
      <w:r>
        <w:t xml:space="preserve">4.2 — "What makes up your score" breakdown</w:t>
      </w:r>
    </w:p>
    <w:p>
      <w:pPr>
        <w:spacing w:after="160"/>
      </w:pPr>
      <w:r>
        <w:rPr>
          <w:rFonts w:ascii="Inter" w:cs="Inter" w:eastAsia="Inter" w:hAnsi="Inter"/>
          <w:sz w:val="22"/>
          <w:szCs w:val="22"/>
        </w:rPr>
        <w:t xml:space="preserve">Directly below the headline card — this section visually separates score-affecting figures (2.4) from context-only ones, using a labeled section boundary rather than mixing all stats into one undifferentiated list.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2%"/>
            <w:shd w:fill="14213D" w:val="clear"/>
            <w:tcMar>
              <w:top w:type="dxa" w:w="80"/>
              <w:left w:type="dxa" w:w="100"/>
              <w:bottom w:type="dxa" w:w="80"/>
              <w:right w:type="dxa" w:w="100"/>
            </w:tcMar>
            <w:vAlign w:val="center"/>
          </w:tcPr>
          <w:p>
            <w:r>
              <w:rPr>
                <w:rFonts w:ascii="Inter" w:cs="Inter" w:eastAsia="Inter" w:hAnsi="Inter"/>
                <w:b/>
                <w:bCs/>
                <w:color w:val="FFFFFF"/>
                <w:sz w:val="19"/>
                <w:szCs w:val="19"/>
              </w:rPr>
              <w:t xml:space="preserve">Element</w:t>
            </w:r>
          </w:p>
        </w:tc>
        <w:tc>
          <w:tcPr>
            <w:tcW w:type="pct" w:w="34%"/>
            <w:shd w:fill="14213D" w:val="clear"/>
            <w:tcMar>
              <w:top w:type="dxa" w:w="80"/>
              <w:left w:type="dxa" w:w="100"/>
              <w:bottom w:type="dxa" w:w="80"/>
              <w:right w:type="dxa" w:w="100"/>
            </w:tcMar>
            <w:vAlign w:val="center"/>
          </w:tcPr>
          <w:p>
            <w:r>
              <w:rPr>
                <w:rFonts w:ascii="Inter" w:cs="Inter" w:eastAsia="Inter" w:hAnsi="Inter"/>
                <w:b/>
                <w:bCs/>
                <w:color w:val="FFFFFF"/>
                <w:sz w:val="19"/>
                <w:szCs w:val="19"/>
              </w:rPr>
              <w:t xml:space="preserve">Content / Copy</w:t>
            </w:r>
          </w:p>
        </w:tc>
        <w:tc>
          <w:tcPr>
            <w:tcW w:type="pct" w:w="20%"/>
            <w:shd w:fill="14213D" w:val="clear"/>
            <w:tcMar>
              <w:top w:type="dxa" w:w="80"/>
              <w:left w:type="dxa" w:w="100"/>
              <w:bottom w:type="dxa" w:w="80"/>
              <w:right w:type="dxa" w:w="100"/>
            </w:tcMar>
            <w:vAlign w:val="center"/>
          </w:tcPr>
          <w:p>
            <w:r>
              <w:rPr>
                <w:rFonts w:ascii="Inter" w:cs="Inter" w:eastAsia="Inter" w:hAnsi="Inter"/>
                <w:b/>
                <w:bCs/>
                <w:color w:val="FFFFFF"/>
                <w:sz w:val="19"/>
                <w:szCs w:val="19"/>
              </w:rPr>
              <w:t xml:space="preserve">Type role</w:t>
            </w:r>
          </w:p>
        </w:tc>
        <w:tc>
          <w:tcPr>
            <w:tcW w:type="pct" w:w="24%"/>
            <w:shd w:fill="14213D" w:val="clear"/>
            <w:tcMar>
              <w:top w:type="dxa" w:w="80"/>
              <w:left w:type="dxa" w:w="100"/>
              <w:bottom w:type="dxa" w:w="80"/>
              <w:right w:type="dxa" w:w="100"/>
            </w:tcMar>
            <w:vAlign w:val="center"/>
          </w:tcPr>
          <w:p>
            <w:r>
              <w:rPr>
                <w:rFonts w:ascii="Inter" w:cs="Inter" w:eastAsia="Inter" w:hAnsi="Inter"/>
                <w:b/>
                <w:bCs/>
                <w:color w:val="FFFFFF"/>
                <w:sz w:val="19"/>
                <w:szCs w:val="19"/>
              </w:rPr>
              <w:t xml:space="preserve">Notes</w:t>
            </w:r>
          </w:p>
        </w:tc>
      </w:tr>
      <w:tr>
        <w:tc>
          <w:tcPr>
            <w:tcW w:type="pct" w:w="22%"/>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Section header</w:t>
            </w:r>
          </w:p>
        </w:tc>
        <w:tc>
          <w:tcPr>
            <w:tcW w:type="pct" w:w="34%"/>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"What makes up your score"</w:t>
            </w:r>
          </w:p>
        </w:tc>
        <w:tc>
          <w:tcPr>
            <w:tcW w:type="pct" w:w="20%"/>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H2</w:t>
            </w:r>
          </w:p>
        </w:tc>
        <w:tc>
          <w:tcPr>
            <w:tcW w:type="pct" w:w="24%"/>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Gray 900</w:t>
            </w:r>
          </w:p>
        </w:tc>
      </w:tr>
      <w:tr>
        <w:tc>
          <w:tcPr>
            <w:tcW w:type="pct" w:w="22%"/>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Found/Not-found split bar</w:t>
            </w:r>
          </w:p>
        </w:tc>
        <w:tc>
          <w:tcPr>
            <w:tcW w:type="pct" w:w="34%"/>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Horizontal two-segment bar, e.g. 42 found / 3 not found, with counts labeled directly on or beside each segment</w:t>
            </w:r>
          </w:p>
        </w:tc>
        <w:tc>
          <w:tcPr>
            <w:tcW w:type="pct" w:w="20%"/>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Body (counts), Caption (segment labels "Found" / "Not found")</w:t>
            </w:r>
          </w:p>
        </w:tc>
        <w:tc>
          <w:tcPr>
            <w:tcW w:type="pct" w:w="24%"/>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Success/Teal #00B8A9 for Found, Danger #E5484D for Not found — the only place on this page Danger is used, since a "not found" outcome is the one genuinely negative signal in the formula</w:t>
            </w:r>
          </w:p>
        </w:tc>
      </w:tr>
      <w:tr>
        <w:tc>
          <w:tcPr>
            <w:tcW w:type="pct" w:w="22%"/>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Confirmed-found rate</w:t>
            </w:r>
          </w:p>
        </w:tc>
        <w:tc>
          <w:tcPr>
            <w:tcW w:type="pct" w:w="34%"/>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"93% of your rated visits were found" (computed client-side from foundCount/notFoundCount purely for display — the authoritative value is still server-computed, §2.3)</w:t>
            </w:r>
          </w:p>
        </w:tc>
        <w:tc>
          <w:tcPr>
            <w:tcW w:type="pct" w:w="20%"/>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Body / Medium</w:t>
            </w:r>
          </w:p>
        </w:tc>
        <w:tc>
          <w:tcPr>
            <w:tcW w:type="pct" w:w="24%"/>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Gray 900, sits under the split bar as the plain-language readout of confirmedFoundRate</w:t>
            </w:r>
          </w:p>
        </w:tc>
      </w:tr>
      <w:tr>
        <w:tc>
          <w:tcPr>
            <w:tcW w:type="pct" w:w="22%"/>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Average response time</w:t>
            </w:r>
          </w:p>
        </w:tc>
        <w:tc>
          <w:tcPr>
            <w:tcW w:type="pct" w:w="34%"/>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"Average response time: 18 sec"</w:t>
            </w:r>
          </w:p>
        </w:tc>
        <w:tc>
          <w:tcPr>
            <w:tcW w:type="pct" w:w="20%"/>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Body</w:t>
            </w:r>
          </w:p>
        </w:tc>
        <w:tc>
          <w:tcPr>
            <w:tcW w:type="pct" w:w="24%"/>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Gray 900 — the human-readable form of avgResponseSeconds feeding speedScore</w:t>
            </w:r>
          </w:p>
        </w:tc>
      </w:tr>
      <w:tr>
        <w:tc>
          <w:tcPr>
            <w:tcW w:type="pct" w:w="22%"/>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Weighting note</w:t>
            </w:r>
          </w:p>
        </w:tc>
        <w:tc>
          <w:tcPr>
            <w:tcW w:type="pct" w:w="34%"/>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"Your score weighs being found 70% and how fast you respond 30%."</w:t>
            </w:r>
          </w:p>
        </w:tc>
        <w:tc>
          <w:tcPr>
            <w:tcW w:type="pct" w:w="20%"/>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Caption</w:t>
            </w:r>
          </w:p>
        </w:tc>
        <w:tc>
          <w:tcPr>
            <w:tcW w:type="pct" w:w="24%"/>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Gray 600 — states the §3.1.2 weights in plain language, directly under the two contributing stats above</w:t>
            </w:r>
          </w:p>
        </w:tc>
      </w:tr>
    </w:tbl>
    <w:p>
      <w:pPr>
        <w:pStyle w:val="Heading2"/>
        <w:spacing w:after="150" w:before="300"/>
      </w:pPr>
      <w:r>
        <w:t xml:space="preserve">4.3 — "For your reference" context stats</w:t>
      </w:r>
    </w:p>
    <w:p>
      <w:pPr>
        <w:spacing w:after="160"/>
      </w:pPr>
      <w:r>
        <w:rPr>
          <w:rFonts w:ascii="Inter" w:cs="Inter" w:eastAsia="Inter" w:hAnsi="Inter"/>
          <w:sz w:val="22"/>
          <w:szCs w:val="22"/>
        </w:rPr>
        <w:t xml:space="preserve">Visually distinct from §4.2 — a lighter-weight row, not styled as cards, deliberately de-emphasized to avoid competing with the score-affecting figures above 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2%"/>
            <w:shd w:fill="14213D" w:val="clear"/>
            <w:tcMar>
              <w:top w:type="dxa" w:w="80"/>
              <w:left w:type="dxa" w:w="100"/>
              <w:bottom w:type="dxa" w:w="80"/>
              <w:right w:type="dxa" w:w="100"/>
            </w:tcMar>
            <w:vAlign w:val="center"/>
          </w:tcPr>
          <w:p>
            <w:r>
              <w:rPr>
                <w:rFonts w:ascii="Inter" w:cs="Inter" w:eastAsia="Inter" w:hAnsi="Inter"/>
                <w:b/>
                <w:bCs/>
                <w:color w:val="FFFFFF"/>
                <w:sz w:val="19"/>
                <w:szCs w:val="19"/>
              </w:rPr>
              <w:t xml:space="preserve">Element</w:t>
            </w:r>
          </w:p>
        </w:tc>
        <w:tc>
          <w:tcPr>
            <w:tcW w:type="pct" w:w="34%"/>
            <w:shd w:fill="14213D" w:val="clear"/>
            <w:tcMar>
              <w:top w:type="dxa" w:w="80"/>
              <w:left w:type="dxa" w:w="100"/>
              <w:bottom w:type="dxa" w:w="80"/>
              <w:right w:type="dxa" w:w="100"/>
            </w:tcMar>
            <w:vAlign w:val="center"/>
          </w:tcPr>
          <w:p>
            <w:r>
              <w:rPr>
                <w:rFonts w:ascii="Inter" w:cs="Inter" w:eastAsia="Inter" w:hAnsi="Inter"/>
                <w:b/>
                <w:bCs/>
                <w:color w:val="FFFFFF"/>
                <w:sz w:val="19"/>
                <w:szCs w:val="19"/>
              </w:rPr>
              <w:t xml:space="preserve">Content / Copy</w:t>
            </w:r>
          </w:p>
        </w:tc>
        <w:tc>
          <w:tcPr>
            <w:tcW w:type="pct" w:w="20%"/>
            <w:shd w:fill="14213D" w:val="clear"/>
            <w:tcMar>
              <w:top w:type="dxa" w:w="80"/>
              <w:left w:type="dxa" w:w="100"/>
              <w:bottom w:type="dxa" w:w="80"/>
              <w:right w:type="dxa" w:w="100"/>
            </w:tcMar>
            <w:vAlign w:val="center"/>
          </w:tcPr>
          <w:p>
            <w:r>
              <w:rPr>
                <w:rFonts w:ascii="Inter" w:cs="Inter" w:eastAsia="Inter" w:hAnsi="Inter"/>
                <w:b/>
                <w:bCs/>
                <w:color w:val="FFFFFF"/>
                <w:sz w:val="19"/>
                <w:szCs w:val="19"/>
              </w:rPr>
              <w:t xml:space="preserve">Type role</w:t>
            </w:r>
          </w:p>
        </w:tc>
        <w:tc>
          <w:tcPr>
            <w:tcW w:type="pct" w:w="24%"/>
            <w:shd w:fill="14213D" w:val="clear"/>
            <w:tcMar>
              <w:top w:type="dxa" w:w="80"/>
              <w:left w:type="dxa" w:w="100"/>
              <w:bottom w:type="dxa" w:w="80"/>
              <w:right w:type="dxa" w:w="100"/>
            </w:tcMar>
            <w:vAlign w:val="center"/>
          </w:tcPr>
          <w:p>
            <w:r>
              <w:rPr>
                <w:rFonts w:ascii="Inter" w:cs="Inter" w:eastAsia="Inter" w:hAnsi="Inter"/>
                <w:b/>
                <w:bCs/>
                <w:color w:val="FFFFFF"/>
                <w:sz w:val="19"/>
                <w:szCs w:val="19"/>
              </w:rPr>
              <w:t xml:space="preserve">Notes</w:t>
            </w:r>
          </w:p>
        </w:tc>
      </w:tr>
      <w:tr>
        <w:tc>
          <w:tcPr>
            <w:tcW w:type="pct" w:w="22%"/>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Section header</w:t>
            </w:r>
          </w:p>
        </w:tc>
        <w:tc>
          <w:tcPr>
            <w:tcW w:type="pct" w:w="34%"/>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"For your reference"</w:t>
            </w:r>
          </w:p>
        </w:tc>
        <w:tc>
          <w:tcPr>
            <w:tcW w:type="pct" w:w="20%"/>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Caption / SemiBold</w:t>
            </w:r>
          </w:p>
        </w:tc>
        <w:tc>
          <w:tcPr>
            <w:tcW w:type="pct" w:w="24%"/>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Gray 600 — intentionally smaller weight than the H2 used in §4.2, reinforcing that this section doesn't affect the score</w:t>
            </w:r>
          </w:p>
        </w:tc>
      </w:tr>
      <w:tr>
        <w:tc>
          <w:tcPr>
            <w:tcW w:type="pct" w:w="22%"/>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Total Yes given</w:t>
            </w:r>
          </w:p>
        </w:tc>
        <w:tc>
          <w:tcPr>
            <w:tcW w:type="pct" w:w="34%"/>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"You've said Yes to 118 requests total"</w:t>
            </w:r>
          </w:p>
        </w:tc>
        <w:tc>
          <w:tcPr>
            <w:tcW w:type="pct" w:w="20%"/>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Caption</w:t>
            </w:r>
          </w:p>
        </w:tc>
        <w:tc>
          <w:tcPr>
            <w:tcW w:type="pct" w:w="24%"/>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Gray 600</w:t>
            </w:r>
          </w:p>
        </w:tc>
      </w:tr>
      <w:tr>
        <w:tc>
          <w:tcPr>
            <w:tcW w:type="pct" w:w="22%"/>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Explainer</w:t>
            </w:r>
          </w:p>
        </w:tc>
        <w:tc>
          <w:tcPr>
            <w:tcW w:type="pct" w:w="34%"/>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"This number doesn't affect your score — only visits where a customer picked you and rated the visit do."</w:t>
            </w:r>
          </w:p>
        </w:tc>
        <w:tc>
          <w:tcPr>
            <w:tcW w:type="pct" w:w="20%"/>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Caption</w:t>
            </w:r>
          </w:p>
        </w:tc>
        <w:tc>
          <w:tcPr>
            <w:tcW w:type="pct" w:w="24%"/>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Gray 600 — directly addresses the confusion named in §2.4</w:t>
            </w:r>
          </w:p>
        </w:tc>
      </w:tr>
    </w:tbl>
    <w:p>
      <w:pPr>
        <w:pStyle w:val="Heading2"/>
        <w:spacing w:after="150" w:before="300"/>
      </w:pPr>
      <w:r>
        <w:t xml:space="preserve">4.4 — "How to improve your score" tips (static, formula-derived)</w:t>
      </w:r>
    </w:p>
    <w:p>
      <w:pPr>
        <w:spacing w:after="160"/>
      </w:pPr>
      <w:r>
        <w:rPr>
          <w:rFonts w:ascii="Inter" w:cs="Inter" w:eastAsia="Inter" w:hAnsi="Inter"/>
          <w:sz w:val="22"/>
          <w:szCs w:val="22"/>
        </w:rPr>
        <w:t xml:space="preserve">A short, non-personalized tip list derived directly from the formula's two levers — not AI-generated, not dynamically tailored, since the two things that move this score are fixed and few enough to just state plainly.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2%"/>
            <w:shd w:fill="14213D" w:val="clear"/>
            <w:tcMar>
              <w:top w:type="dxa" w:w="80"/>
              <w:left w:type="dxa" w:w="100"/>
              <w:bottom w:type="dxa" w:w="80"/>
              <w:right w:type="dxa" w:w="100"/>
            </w:tcMar>
            <w:vAlign w:val="center"/>
          </w:tcPr>
          <w:p>
            <w:r>
              <w:rPr>
                <w:rFonts w:ascii="Inter" w:cs="Inter" w:eastAsia="Inter" w:hAnsi="Inter"/>
                <w:b/>
                <w:bCs/>
                <w:color w:val="FFFFFF"/>
                <w:sz w:val="19"/>
                <w:szCs w:val="19"/>
              </w:rPr>
              <w:t xml:space="preserve">Element</w:t>
            </w:r>
          </w:p>
        </w:tc>
        <w:tc>
          <w:tcPr>
            <w:tcW w:type="pct" w:w="34%"/>
            <w:shd w:fill="14213D" w:val="clear"/>
            <w:tcMar>
              <w:top w:type="dxa" w:w="80"/>
              <w:left w:type="dxa" w:w="100"/>
              <w:bottom w:type="dxa" w:w="80"/>
              <w:right w:type="dxa" w:w="100"/>
            </w:tcMar>
            <w:vAlign w:val="center"/>
          </w:tcPr>
          <w:p>
            <w:r>
              <w:rPr>
                <w:rFonts w:ascii="Inter" w:cs="Inter" w:eastAsia="Inter" w:hAnsi="Inter"/>
                <w:b/>
                <w:bCs/>
                <w:color w:val="FFFFFF"/>
                <w:sz w:val="19"/>
                <w:szCs w:val="19"/>
              </w:rPr>
              <w:t xml:space="preserve">Content / Copy</w:t>
            </w:r>
          </w:p>
        </w:tc>
        <w:tc>
          <w:tcPr>
            <w:tcW w:type="pct" w:w="20%"/>
            <w:shd w:fill="14213D" w:val="clear"/>
            <w:tcMar>
              <w:top w:type="dxa" w:w="80"/>
              <w:left w:type="dxa" w:w="100"/>
              <w:bottom w:type="dxa" w:w="80"/>
              <w:right w:type="dxa" w:w="100"/>
            </w:tcMar>
            <w:vAlign w:val="center"/>
          </w:tcPr>
          <w:p>
            <w:r>
              <w:rPr>
                <w:rFonts w:ascii="Inter" w:cs="Inter" w:eastAsia="Inter" w:hAnsi="Inter"/>
                <w:b/>
                <w:bCs/>
                <w:color w:val="FFFFFF"/>
                <w:sz w:val="19"/>
                <w:szCs w:val="19"/>
              </w:rPr>
              <w:t xml:space="preserve">Type role</w:t>
            </w:r>
          </w:p>
        </w:tc>
        <w:tc>
          <w:tcPr>
            <w:tcW w:type="pct" w:w="24%"/>
            <w:shd w:fill="14213D" w:val="clear"/>
            <w:tcMar>
              <w:top w:type="dxa" w:w="80"/>
              <w:left w:type="dxa" w:w="100"/>
              <w:bottom w:type="dxa" w:w="80"/>
              <w:right w:type="dxa" w:w="100"/>
            </w:tcMar>
            <w:vAlign w:val="center"/>
          </w:tcPr>
          <w:p>
            <w:r>
              <w:rPr>
                <w:rFonts w:ascii="Inter" w:cs="Inter" w:eastAsia="Inter" w:hAnsi="Inter"/>
                <w:b/>
                <w:bCs/>
                <w:color w:val="FFFFFF"/>
                <w:sz w:val="19"/>
                <w:szCs w:val="19"/>
              </w:rPr>
              <w:t xml:space="preserve">Notes</w:t>
            </w:r>
          </w:p>
        </w:tc>
      </w:tr>
      <w:tr>
        <w:tc>
          <w:tcPr>
            <w:tcW w:type="pct" w:w="22%"/>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Section header</w:t>
            </w:r>
          </w:p>
        </w:tc>
        <w:tc>
          <w:tcPr>
            <w:tcW w:type="pct" w:w="34%"/>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"How to improve your score"</w:t>
            </w:r>
          </w:p>
        </w:tc>
        <w:tc>
          <w:tcPr>
            <w:tcW w:type="pct" w:w="20%"/>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H2</w:t>
            </w:r>
          </w:p>
        </w:tc>
        <w:tc>
          <w:tcPr>
            <w:tcW w:type="pct" w:w="24%"/>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Gray 900</w:t>
            </w:r>
          </w:p>
        </w:tc>
      </w:tr>
      <w:tr>
        <w:tc>
          <w:tcPr>
            <w:tcW w:type="pct" w:w="22%"/>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Tip 1</w:t>
            </w:r>
          </w:p>
        </w:tc>
        <w:tc>
          <w:tcPr>
            <w:tcW w:type="pct" w:w="34%"/>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"Only say Yes when you're confident you'll actually have it — a confirmed 'not found' affects your score more than saying No would have."</w:t>
            </w:r>
          </w:p>
        </w:tc>
        <w:tc>
          <w:tcPr>
            <w:tcW w:type="pct" w:w="20%"/>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Body</w:t>
            </w:r>
          </w:p>
        </w:tc>
        <w:tc>
          <w:tcPr>
            <w:tcW w:type="pct" w:w="24%"/>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Gray 900, bullet-style row with a small check-circle icon</w:t>
            </w:r>
          </w:p>
        </w:tc>
      </w:tr>
      <w:tr>
        <w:tc>
          <w:tcPr>
            <w:tcW w:type="pct" w:w="22%"/>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Tip 2</w:t>
            </w:r>
          </w:p>
        </w:tc>
        <w:tc>
          <w:tcPr>
            <w:tcW w:type="pct" w:w="34%"/>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"Respond as quickly as you can — speed counts for 30% of your score, and every second counts against the response window."</w:t>
            </w:r>
          </w:p>
        </w:tc>
        <w:tc>
          <w:tcPr>
            <w:tcW w:type="pct" w:w="20%"/>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Body</w:t>
            </w:r>
          </w:p>
        </w:tc>
        <w:tc>
          <w:tcPr>
            <w:tcW w:type="pct" w:w="24%"/>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Gray 900, same bullet-row style</w:t>
            </w:r>
          </w:p>
        </w:tc>
      </w:tr>
    </w:tbl>
    <w:p>
      <w:pPr>
        <w:pStyle w:val="Heading2"/>
        <w:spacing w:after="150" w:before="300"/>
      </w:pPr>
      <w:r>
        <w:t xml:space="preserve">4.5 — Zero-history empty state (combined view for a brand-new shop)</w:t>
      </w:r>
    </w:p>
    <w:p>
      <w:pPr>
        <w:spacing w:after="160"/>
      </w:pPr>
      <w:r>
        <w:rPr>
          <w:rFonts w:ascii="Inter" w:cs="Inter" w:eastAsia="Inter" w:hAnsi="Inter"/>
          <w:sz w:val="22"/>
          <w:szCs w:val="22"/>
        </w:rPr>
        <w:t xml:space="preserve">When foundCount + notFoundCount = 0 (no rated visits yet), §4.2's breakdown section is replaced entirely by a single empty-state block rather than showing a 0/0 split bar, which would read as failure rather than "not yet applicable":</w:t>
      </w:r>
    </w:p>
    <w:p>
      <w:pPr>
        <w:spacing w:after="160"/>
      </w:pPr>
      <w:r>
        <w:rPr>
          <w:rFonts w:ascii="Inter" w:cs="Inter" w:eastAsia="Inter" w:hAnsi="Inter"/>
          <w:b/>
          <w:bCs/>
          <w:sz w:val="22"/>
          <w:szCs w:val="22"/>
        </w:rPr>
        <w:t xml:space="preserve">Copy: </w:t>
      </w:r>
      <w:r>
        <w:rPr>
          <w:rFonts w:ascii="Inter" w:cs="Inter" w:eastAsia="Inter" w:hAnsi="Inter"/>
          <w:sz w:val="22"/>
          <w:szCs w:val="22"/>
        </w:rPr>
        <w:t xml:space="preserve">"Your score will start reflecting real visits once a customer picks you and rates their visit. Until then, you're shown as new — this isn’t a low score."</w:t>
      </w:r>
      <w:r>
        <w:rPr>
          <w:rFonts w:ascii="Inter" w:cs="Inter" w:eastAsia="Inter" w:hAnsi="Inter"/>
          <w:sz w:val="22"/>
          <w:szCs w:val="22"/>
        </w:rPr>
        <w:t xml:space="preserve"> — accompanied by a single static instance of the logomark’s pin (Brand Guide §9.4 empty-state pattern: "a single static instance of the logomark’s pin, no looping animation").</w:t>
      </w:r>
    </w:p>
    <w:p>
      <w:pPr>
        <w:pStyle w:val="Heading2"/>
        <w:spacing w:after="150" w:before="300"/>
      </w:pPr>
      <w:r>
        <w:t xml:space="preserve">4.6 — Rush Hour usage note (cross-referenced from the Rush-Hour Toggle spec)</w:t>
      </w:r>
    </w:p>
    <w:p>
      <w:pPr>
        <w:spacing w:after="160"/>
      </w:pPr>
      <w:r>
        <w:rPr>
          <w:rFonts w:ascii="Inter" w:cs="Inter" w:eastAsia="Inter" w:hAnsi="Inter"/>
          <w:sz w:val="22"/>
          <w:szCs w:val="22"/>
        </w:rPr>
        <w:t xml:space="preserve">Appended below the main content, small and clearly separated, exactly as anticipated in that document's §4.8:</w:t>
      </w:r>
    </w:p>
    <w:p>
      <w:pPr>
        <w:spacing w:after="160"/>
      </w:pPr>
      <w:r>
        <w:rPr>
          <w:rFonts w:ascii="Inter" w:cs="Inter" w:eastAsia="Inter" w:hAnsi="Inter"/>
          <w:b/>
          <w:bCs/>
          <w:sz w:val="22"/>
          <w:szCs w:val="22"/>
        </w:rPr>
        <w:t xml:space="preserve">Copy: </w:t>
      </w:r>
      <w:r>
        <w:rPr>
          <w:rFonts w:ascii="Inter" w:cs="Inter" w:eastAsia="Inter" w:hAnsi="Inter"/>
          <w:sz w:val="22"/>
          <w:szCs w:val="22"/>
        </w:rPr>
        <w:t xml:space="preserve">"Rush hour used {N} times this week, {H} hours total — this never affects your reliability score."</w:t>
      </w:r>
    </w:p>
    <w:p>
      <w:pPr>
        <w:pStyle w:val="Heading1"/>
        <w:spacing w:after="200" w:before="400"/>
      </w:pPr>
      <w:r>
        <w:t xml:space="preserve">5. Visual Design System Application</w:t>
      </w:r>
    </w:p>
    <w:p>
      <w:pPr>
        <w:pStyle w:val="Heading2"/>
        <w:spacing w:after="150" w:before="300"/>
      </w:pPr>
      <w:r>
        <w:t xml:space="preserve">5.1 — Color mapping, including the score color-band rule</w:t>
      </w:r>
    </w:p>
    <w:p>
      <w:pPr>
        <w:spacing w:after="160"/>
      </w:pPr>
      <w:r>
        <w:rPr>
          <w:rFonts w:ascii="Inter" w:cs="Inter" w:eastAsia="Inter" w:hAnsi="Inter"/>
          <w:sz w:val="22"/>
          <w:szCs w:val="22"/>
        </w:rPr>
        <w:t xml:space="preserve">The headline score numeral (§4.1) is color-coded by band — the one place this page uses color to carry meaning beyond the standard semantic tokens, so the banding is specified precisely to avoid an arbitrary gradient: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0%"/>
            <w:shd w:fill="14213D" w:val="clear"/>
            <w:tcMar>
              <w:top w:type="dxa" w:w="80"/>
              <w:left w:type="dxa" w:w="100"/>
              <w:bottom w:type="dxa" w:w="80"/>
              <w:right w:type="dxa" w:w="100"/>
            </w:tcMar>
            <w:vAlign w:val="center"/>
          </w:tcPr>
          <w:p>
            <w:r>
              <w:rPr>
                <w:rFonts w:ascii="Inter" w:cs="Inter" w:eastAsia="Inter" w:hAnsi="Inter"/>
                <w:b/>
                <w:bCs/>
                <w:color w:val="FFFFFF"/>
                <w:sz w:val="19"/>
                <w:szCs w:val="19"/>
              </w:rPr>
              <w:t xml:space="preserve">Score range</w:t>
            </w:r>
          </w:p>
        </w:tc>
        <w:tc>
          <w:tcPr>
            <w:tcW w:type="pct" w:w="25%"/>
            <w:shd w:fill="14213D" w:val="clear"/>
            <w:tcMar>
              <w:top w:type="dxa" w:w="80"/>
              <w:left w:type="dxa" w:w="100"/>
              <w:bottom w:type="dxa" w:w="80"/>
              <w:right w:type="dxa" w:w="100"/>
            </w:tcMar>
            <w:vAlign w:val="center"/>
          </w:tcPr>
          <w:p>
            <w:r>
              <w:rPr>
                <w:rFonts w:ascii="Inter" w:cs="Inter" w:eastAsia="Inter" w:hAnsi="Inter"/>
                <w:b/>
                <w:bCs/>
                <w:color w:val="FFFFFF"/>
                <w:sz w:val="19"/>
                <w:szCs w:val="19"/>
              </w:rPr>
              <w:t xml:space="preserve">Color</w:t>
            </w:r>
          </w:p>
        </w:tc>
        <w:tc>
          <w:tcPr>
            <w:tcW w:type="pct" w:w="45%"/>
            <w:shd w:fill="14213D" w:val="clear"/>
            <w:tcMar>
              <w:top w:type="dxa" w:w="80"/>
              <w:left w:type="dxa" w:w="100"/>
              <w:bottom w:type="dxa" w:w="80"/>
              <w:right w:type="dxa" w:w="100"/>
            </w:tcMar>
            <w:vAlign w:val="center"/>
          </w:tcPr>
          <w:p>
            <w:r>
              <w:rPr>
                <w:rFonts w:ascii="Inter" w:cs="Inter" w:eastAsia="Inter" w:hAnsi="Inter"/>
                <w:b/>
                <w:bCs/>
                <w:color w:val="FFFFFF"/>
                <w:sz w:val="19"/>
                <w:szCs w:val="19"/>
              </w:rPr>
              <w:t xml:space="preserve">Rationale</w:t>
            </w:r>
          </w:p>
        </w:tc>
      </w:tr>
      <w:tr>
        <w:tc>
          <w:tcPr>
            <w:tcW w:type="pct" w:w="30%"/>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80–100</w:t>
            </w:r>
          </w:p>
        </w:tc>
        <w:tc>
          <w:tcPr>
            <w:tcW w:type="pct" w:w="25%"/>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Signal Teal #00B8A9</w:t>
            </w:r>
          </w:p>
        </w:tc>
        <w:tc>
          <w:tcPr>
            <w:tcW w:type="pct" w:w="45%"/>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Reuses the existing Success token (§3.2) — a strong score is a success state, not a new color introduced for this page</w:t>
            </w:r>
          </w:p>
        </w:tc>
      </w:tr>
      <w:tr>
        <w:tc>
          <w:tcPr>
            <w:tcW w:type="pct" w:w="30%"/>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50–79 (includes the new-shop default of exactly 50)</w:t>
            </w:r>
          </w:p>
        </w:tc>
        <w:tc>
          <w:tcPr>
            <w:tcW w:type="pct" w:w="25%"/>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Gray 900 #14213D (numeral in standard text color, no tint)</w:t>
            </w:r>
          </w:p>
        </w:tc>
        <w:tc>
          <w:tcPr>
            <w:tcW w:type="pct" w:w="45%"/>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Neutral — this band includes both an unrated new shop and a middling-but-fine shop; coloring it as a warning would misrepresent a brand-new shop specifically (§2.2, §4.1)</w:t>
            </w:r>
          </w:p>
        </w:tc>
      </w:tr>
      <w:tr>
        <w:tc>
          <w:tcPr>
            <w:tcW w:type="pct" w:w="30%"/>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Below 50</w:t>
            </w:r>
          </w:p>
        </w:tc>
        <w:tc>
          <w:tcPr>
            <w:tcW w:type="pct" w:w="25%"/>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Warning #FFB627</w:t>
            </w:r>
          </w:p>
        </w:tc>
        <w:tc>
          <w:tcPr>
            <w:tcW w:type="pct" w:w="45%"/>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A shop actively trending below the neutral default warrants gentle attention — Danger is deliberately not used here, since this page never treats the shop owner as having done something wrong, only as having room to improve (consistent with the tip-list framing, §4.4)</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0%"/>
            <w:shd w:fill="00B8A9" w:val="clear"/>
            <w:tcMar>
              <w:top w:type="dxa" w:w="100"/>
              <w:left w:type="dxa" w:w="100"/>
              <w:bottom w:type="dxa" w:w="100"/>
              <w:right w:type="dxa" w:w="100"/>
            </w:tcMar>
            <w:vAlign w:val="center"/>
          </w:tcPr>
          <w:p>
            <w:pPr>
              <w:jc w:val="center"/>
            </w:pPr>
            <w:r>
              <w:rPr>
                <w:rFonts w:ascii="Inter" w:cs="Inter" w:eastAsia="Inter" w:hAnsi="Inter"/>
                <w:b/>
                <w:bCs/>
                <w:color w:val="FFFFFF"/>
                <w:sz w:val="18"/>
                <w:szCs w:val="18"/>
              </w:rPr>
              <w:t xml:space="preserve">Signal Teal
#00B8A9</w:t>
            </w:r>
          </w:p>
        </w:tc>
        <w:tc>
          <w:tcPr>
            <w:tcW w:type="pct" w:w="20%"/>
            <w:shd w:fill="FFB627" w:val="clear"/>
            <w:tcMar>
              <w:top w:type="dxa" w:w="100"/>
              <w:left w:type="dxa" w:w="100"/>
              <w:bottom w:type="dxa" w:w="100"/>
              <w:right w:type="dxa" w:w="100"/>
            </w:tcMar>
            <w:vAlign w:val="center"/>
          </w:tcPr>
          <w:p>
            <w:pPr>
              <w:jc w:val="center"/>
            </w:pPr>
            <w:r>
              <w:rPr>
                <w:rFonts w:ascii="Inter" w:cs="Inter" w:eastAsia="Inter" w:hAnsi="Inter"/>
                <w:b/>
                <w:bCs/>
                <w:color w:val="FFFFFF"/>
                <w:sz w:val="18"/>
                <w:szCs w:val="18"/>
              </w:rPr>
              <w:t xml:space="preserve">Warning
#FFB627</w:t>
            </w:r>
          </w:p>
        </w:tc>
        <w:tc>
          <w:tcPr>
            <w:tcW w:type="pct" w:w="20%"/>
            <w:shd w:fill="E5484D" w:val="clear"/>
            <w:tcMar>
              <w:top w:type="dxa" w:w="100"/>
              <w:left w:type="dxa" w:w="100"/>
              <w:bottom w:type="dxa" w:w="100"/>
              <w:right w:type="dxa" w:w="100"/>
            </w:tcMar>
            <w:vAlign w:val="center"/>
          </w:tcPr>
          <w:p>
            <w:pPr>
              <w:jc w:val="center"/>
            </w:pPr>
            <w:r>
              <w:rPr>
                <w:rFonts w:ascii="Inter" w:cs="Inter" w:eastAsia="Inter" w:hAnsi="Inter"/>
                <w:b/>
                <w:bCs/>
                <w:color w:val="FFFFFF"/>
                <w:sz w:val="18"/>
                <w:szCs w:val="18"/>
              </w:rPr>
              <w:t xml:space="preserve">Danger
#E5484D</w:t>
            </w:r>
          </w:p>
        </w:tc>
        <w:tc>
          <w:tcPr>
            <w:tcW w:type="pct" w:w="20%"/>
            <w:shd w:fill="14213D" w:val="clear"/>
            <w:tcMar>
              <w:top w:type="dxa" w:w="100"/>
              <w:left w:type="dxa" w:w="100"/>
              <w:bottom w:type="dxa" w:w="100"/>
              <w:right w:type="dxa" w:w="100"/>
            </w:tcMar>
            <w:vAlign w:val="center"/>
          </w:tcPr>
          <w:p>
            <w:pPr>
              <w:jc w:val="center"/>
            </w:pPr>
            <w:r>
              <w:rPr>
                <w:rFonts w:ascii="Inter" w:cs="Inter" w:eastAsia="Inter" w:hAnsi="Inter"/>
                <w:b/>
                <w:bCs/>
                <w:color w:val="FFFFFF"/>
                <w:sz w:val="18"/>
                <w:szCs w:val="18"/>
              </w:rPr>
              <w:t xml:space="preserve">Gray 900
#14213D</w:t>
            </w:r>
          </w:p>
        </w:tc>
        <w:tc>
          <w:tcPr>
            <w:tcW w:type="pct" w:w="20%"/>
            <w:shd w:fill="5B6472" w:val="clear"/>
            <w:tcMar>
              <w:top w:type="dxa" w:w="100"/>
              <w:left w:type="dxa" w:w="100"/>
              <w:bottom w:type="dxa" w:w="100"/>
              <w:right w:type="dxa" w:w="100"/>
            </w:tcMar>
            <w:vAlign w:val="center"/>
          </w:tcPr>
          <w:p>
            <w:pPr>
              <w:jc w:val="center"/>
            </w:pPr>
            <w:r>
              <w:rPr>
                <w:rFonts w:ascii="Inter" w:cs="Inter" w:eastAsia="Inter" w:hAnsi="Inter"/>
                <w:b/>
                <w:bCs/>
                <w:color w:val="14213D"/>
                <w:sz w:val="18"/>
                <w:szCs w:val="18"/>
              </w:rPr>
              <w:t xml:space="preserve">Gray 600
#5B6472</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2%"/>
            <w:shd w:fill="14213D" w:val="clear"/>
            <w:tcMar>
              <w:top w:type="dxa" w:w="80"/>
              <w:left w:type="dxa" w:w="100"/>
              <w:bottom w:type="dxa" w:w="80"/>
              <w:right w:type="dxa" w:w="100"/>
            </w:tcMar>
            <w:vAlign w:val="center"/>
          </w:tcPr>
          <w:p>
            <w:r>
              <w:rPr>
                <w:rFonts w:ascii="Inter" w:cs="Inter" w:eastAsia="Inter" w:hAnsi="Inter"/>
                <w:b/>
                <w:bCs/>
                <w:color w:val="FFFFFF"/>
                <w:sz w:val="19"/>
                <w:szCs w:val="19"/>
              </w:rPr>
              <w:t xml:space="preserve">Token</w:t>
            </w:r>
          </w:p>
        </w:tc>
        <w:tc>
          <w:tcPr>
            <w:tcW w:type="pct" w:w="34%"/>
            <w:shd w:fill="14213D" w:val="clear"/>
            <w:tcMar>
              <w:top w:type="dxa" w:w="80"/>
              <w:left w:type="dxa" w:w="100"/>
              <w:bottom w:type="dxa" w:w="80"/>
              <w:right w:type="dxa" w:w="100"/>
            </w:tcMar>
            <w:vAlign w:val="center"/>
          </w:tcPr>
          <w:p>
            <w:r>
              <w:rPr>
                <w:rFonts w:ascii="Inter" w:cs="Inter" w:eastAsia="Inter" w:hAnsi="Inter"/>
                <w:b/>
                <w:bCs/>
                <w:color w:val="FFFFFF"/>
                <w:sz w:val="19"/>
                <w:szCs w:val="19"/>
              </w:rPr>
              <w:t xml:space="preserve">Used for in this feature</w:t>
            </w:r>
          </w:p>
        </w:tc>
        <w:tc>
          <w:tcPr>
            <w:tcW w:type="pct" w:w="44%"/>
            <w:shd w:fill="14213D" w:val="clear"/>
            <w:tcMar>
              <w:top w:type="dxa" w:w="80"/>
              <w:left w:type="dxa" w:w="100"/>
              <w:bottom w:type="dxa" w:w="80"/>
              <w:right w:type="dxa" w:w="100"/>
            </w:tcMar>
            <w:vAlign w:val="center"/>
          </w:tcPr>
          <w:p>
            <w:r>
              <w:rPr>
                <w:rFonts w:ascii="Inter" w:cs="Inter" w:eastAsia="Inter" w:hAnsi="Inter"/>
                <w:b/>
                <w:bCs/>
                <w:color w:val="FFFFFF"/>
                <w:sz w:val="19"/>
                <w:szCs w:val="19"/>
              </w:rPr>
              <w:t xml:space="preserve">Rationale</w:t>
            </w:r>
          </w:p>
        </w:tc>
      </w:tr>
      <w:tr>
        <w:tc>
          <w:tcPr>
            <w:tcW w:type="pct" w:w="22%"/>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Signal Teal #00B8A9</w:t>
            </w:r>
          </w:p>
        </w:tc>
        <w:tc>
          <w:tcPr>
            <w:tcW w:type="pct" w:w="34%"/>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80–100 score band, "Found" segment of the split bar</w:t>
            </w:r>
          </w:p>
        </w:tc>
        <w:tc>
          <w:tcPr>
            <w:tcW w:type="pct" w:w="44%"/>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Success semantic token (§3.2), doubles as the shop surface's dominant accent (§3.3)</w:t>
            </w:r>
          </w:p>
        </w:tc>
      </w:tr>
      <w:tr>
        <w:tc>
          <w:tcPr>
            <w:tcW w:type="pct" w:w="22%"/>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Warning #FFB627</w:t>
            </w:r>
          </w:p>
        </w:tc>
        <w:tc>
          <w:tcPr>
            <w:tcW w:type="pct" w:w="34%"/>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Below-50 score band, star-rating icons</w:t>
            </w:r>
          </w:p>
        </w:tc>
        <w:tc>
          <w:tcPr>
            <w:tcW w:type="pct" w:w="44%"/>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Existing semantic tokens for both "caution" and "star ratings" specifically (§3.2) — reused exactly as defined, not repurposed</w:t>
            </w:r>
          </w:p>
        </w:tc>
      </w:tr>
      <w:tr>
        <w:tc>
          <w:tcPr>
            <w:tcW w:type="pct" w:w="22%"/>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Danger #E5484D</w:t>
            </w:r>
          </w:p>
        </w:tc>
        <w:tc>
          <w:tcPr>
            <w:tcW w:type="pct" w:w="34%"/>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"Not found" segment of the split bar only</w:t>
            </w:r>
          </w:p>
        </w:tc>
        <w:tc>
          <w:tcPr>
            <w:tcW w:type="pct" w:w="44%"/>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The one genuinely negative figure on this page — narrowly scoped, matching how sparingly this page series uses Danger elsewhere</w:t>
            </w:r>
          </w:p>
        </w:tc>
      </w:tr>
      <w:tr>
        <w:tc>
          <w:tcPr>
            <w:tcW w:type="pct" w:w="22%"/>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Gray 900 / Gray 600</w:t>
            </w:r>
          </w:p>
        </w:tc>
        <w:tc>
          <w:tcPr>
            <w:tcW w:type="pct" w:w="34%"/>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Body copy, 50–79 score band, all context/reference text</w:t>
            </w:r>
          </w:p>
        </w:tc>
        <w:tc>
          <w:tcPr>
            <w:tcW w:type="pct" w:w="44%"/>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Standard body-text accessibility rule (§3.4), applied consistently across this whole documentation series</w:t>
            </w:r>
          </w:p>
        </w:tc>
      </w:tr>
      <w:tr>
        <w:tc>
          <w:tcPr>
            <w:tcW w:type="pct" w:w="22%"/>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Surface / Gray 100 + White</w:t>
            </w:r>
          </w:p>
        </w:tc>
        <w:tc>
          <w:tcPr>
            <w:tcW w:type="pct" w:w="34%"/>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Card and page backgrounds</w:t>
            </w:r>
          </w:p>
        </w:tc>
        <w:tc>
          <w:tcPr>
            <w:tcW w:type="pct" w:w="44%"/>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Standard page/card tokens (§3.2)</w:t>
            </w:r>
          </w:p>
        </w:tc>
      </w:tr>
    </w:tbl>
    <w:p>
      <w:pPr>
        <w:spacing w:after="160"/>
      </w:pPr>
      <w:r>
        <w:rPr>
          <w:rFonts w:ascii="Inter" w:cs="Inter" w:eastAsia="Inter" w:hAnsi="Inter"/>
          <w:sz w:val="22"/>
          <w:szCs w:val="22"/>
        </w:rPr>
        <w:t xml:space="preserve">Orange is not used anywhere on this page, for the same reason as every other Shop Dashboard spec in this series — the Brand Guide reserves it exclusively for Yes/No response buttons on this surface (§3.3), and this is a read-only reporting page with no such action.</w:t>
      </w:r>
    </w:p>
    <w:p>
      <w:pPr>
        <w:pStyle w:val="Heading2"/>
        <w:spacing w:after="150" w:before="300"/>
      </w:pPr>
      <w:r>
        <w:t xml:space="preserve">5.2 — Typography mapping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4%"/>
            <w:shd w:fill="14213D" w:val="clear"/>
            <w:tcMar>
              <w:top w:type="dxa" w:w="80"/>
              <w:left w:type="dxa" w:w="100"/>
              <w:bottom w:type="dxa" w:w="80"/>
              <w:right w:type="dxa" w:w="100"/>
            </w:tcMar>
            <w:vAlign w:val="center"/>
          </w:tcPr>
          <w:p>
            <w:r>
              <w:rPr>
                <w:rFonts w:ascii="Inter" w:cs="Inter" w:eastAsia="Inter" w:hAnsi="Inter"/>
                <w:b/>
                <w:bCs/>
                <w:color w:val="FFFFFF"/>
                <w:sz w:val="19"/>
                <w:szCs w:val="19"/>
              </w:rPr>
              <w:t xml:space="preserve">Role (Brand Guide §4.2)</w:t>
            </w:r>
          </w:p>
        </w:tc>
        <w:tc>
          <w:tcPr>
            <w:tcW w:type="pct" w:w="30%"/>
            <w:shd w:fill="14213D" w:val="clear"/>
            <w:tcMar>
              <w:top w:type="dxa" w:w="80"/>
              <w:left w:type="dxa" w:w="100"/>
              <w:bottom w:type="dxa" w:w="80"/>
              <w:right w:type="dxa" w:w="100"/>
            </w:tcMar>
            <w:vAlign w:val="center"/>
          </w:tcPr>
          <w:p>
            <w:r>
              <w:rPr>
                <w:rFonts w:ascii="Inter" w:cs="Inter" w:eastAsia="Inter" w:hAnsi="Inter"/>
                <w:b/>
                <w:bCs/>
                <w:color w:val="FFFFFF"/>
                <w:sz w:val="19"/>
                <w:szCs w:val="19"/>
              </w:rPr>
              <w:t xml:space="preserve">Size / line-height / weight</w:t>
            </w:r>
          </w:p>
        </w:tc>
        <w:tc>
          <w:tcPr>
            <w:tcW w:type="pct" w:w="46%"/>
            <w:shd w:fill="14213D" w:val="clear"/>
            <w:tcMar>
              <w:top w:type="dxa" w:w="80"/>
              <w:left w:type="dxa" w:w="100"/>
              <w:bottom w:type="dxa" w:w="80"/>
              <w:right w:type="dxa" w:w="100"/>
            </w:tcMar>
            <w:vAlign w:val="center"/>
          </w:tcPr>
          <w:p>
            <w:r>
              <w:rPr>
                <w:rFonts w:ascii="Inter" w:cs="Inter" w:eastAsia="Inter" w:hAnsi="Inter"/>
                <w:b/>
                <w:bCs/>
                <w:color w:val="FFFFFF"/>
                <w:sz w:val="19"/>
                <w:szCs w:val="19"/>
              </w:rPr>
              <w:t xml:space="preserve">Used here for</w:t>
            </w:r>
          </w:p>
        </w:tc>
      </w:tr>
      <w:tr>
        <w:tc>
          <w:tcPr>
            <w:tcW w:type="pct" w:w="24%"/>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Display</w:t>
            </w:r>
          </w:p>
        </w:tc>
        <w:tc>
          <w:tcPr>
            <w:tcW w:type="pct" w:w="30%"/>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32px / 40px, 700 Bold</w:t>
            </w:r>
          </w:p>
        </w:tc>
        <w:tc>
          <w:tcPr>
            <w:tcW w:type="pct" w:w="46%"/>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The headline score numeral only — the one justified use of Display on this whole page series, matching the Brand Guide's own note that Display is "rare"</w:t>
            </w:r>
          </w:p>
        </w:tc>
      </w:tr>
      <w:tr>
        <w:tc>
          <w:tcPr>
            <w:tcW w:type="pct" w:w="24%"/>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H1</w:t>
            </w:r>
          </w:p>
        </w:tc>
        <w:tc>
          <w:tcPr>
            <w:tcW w:type="pct" w:w="30%"/>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24px / 32px, 600 SemiBold</w:t>
            </w:r>
          </w:p>
        </w:tc>
        <w:tc>
          <w:tcPr>
            <w:tcW w:type="pct" w:w="46%"/>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Page header ("Reliability &amp; ratings")</w:t>
            </w:r>
          </w:p>
        </w:tc>
      </w:tr>
      <w:tr>
        <w:tc>
          <w:tcPr>
            <w:tcW w:type="pct" w:w="24%"/>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H2</w:t>
            </w:r>
          </w:p>
        </w:tc>
        <w:tc>
          <w:tcPr>
            <w:tcW w:type="pct" w:w="30%"/>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18px / 26px, 600 SemiBold</w:t>
            </w:r>
          </w:p>
        </w:tc>
        <w:tc>
          <w:tcPr>
            <w:tcW w:type="pct" w:w="46%"/>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"What makes up your score" and "How to improve your score" section headers</w:t>
            </w:r>
          </w:p>
        </w:tc>
      </w:tr>
      <w:tr>
        <w:tc>
          <w:tcPr>
            <w:tcW w:type="pct" w:w="24%"/>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Body</w:t>
            </w:r>
          </w:p>
        </w:tc>
        <w:tc>
          <w:tcPr>
            <w:tcW w:type="pct" w:w="30%"/>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15px / 22px, 400 Regular (Medium weight for key stat lines)</w:t>
            </w:r>
          </w:p>
        </w:tc>
        <w:tc>
          <w:tcPr>
            <w:tcW w:type="pct" w:w="46%"/>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Confirmed-found-rate readout, average response time, star rating numeral, improvement tips</w:t>
            </w:r>
          </w:p>
        </w:tc>
      </w:tr>
      <w:tr>
        <w:tc>
          <w:tcPr>
            <w:tcW w:type="pct" w:w="24%"/>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Caption</w:t>
            </w:r>
          </w:p>
        </w:tc>
        <w:tc>
          <w:tcPr>
            <w:tcW w:type="pct" w:w="30%"/>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13px / 18px, 400 Regular (SemiBold for the "For your reference" section header)</w:t>
            </w:r>
          </w:p>
        </w:tc>
        <w:tc>
          <w:tcPr>
            <w:tcW w:type="pct" w:w="46%"/>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Score label, default-score explainer, split-bar segment labels, weighting note, reference-section content, Rush Hour usage note</w:t>
            </w:r>
          </w:p>
        </w:tc>
      </w:tr>
    </w:tbl>
    <w:p>
      <w:pPr>
        <w:pStyle w:val="Heading2"/>
        <w:spacing w:after="150" w:before="300"/>
      </w:pPr>
      <w:r>
        <w:t xml:space="preserve">5.3 — Spacing, grid &amp; component styling</w:t>
      </w:r>
    </w:p>
    <w:p>
      <w:pPr>
        <w:pStyle w:val="ListParagraph"/>
        <w:numPr>
          <w:ilvl w:val="0"/>
          <w:numId w:val="1"/>
        </w:numPr>
        <w:spacing w:after="90"/>
      </w:pPr>
      <w:r>
        <w:t xml:space="preserve">Headline score card: full-width, 24px padding (more generous than standard 16px, since this is the page's focal point), centered numeral and star row, 16px corner radius, white surface with 1px Gray 300 border</w:t>
      </w:r>
    </w:p>
    <w:p>
      <w:pPr>
        <w:pStyle w:val="ListParagraph"/>
        <w:numPr>
          <w:ilvl w:val="0"/>
          <w:numId w:val="1"/>
        </w:numPr>
        <w:spacing w:after="90"/>
      </w:pPr>
      <w:r>
        <w:t xml:space="preserve">Found/Not-found split bar: 12px height, fully rounded ends, 2px gap between the two segments so they read as distinct rather than one continuous bar</w:t>
      </w:r>
    </w:p>
    <w:p>
      <w:pPr>
        <w:pStyle w:val="ListParagraph"/>
        <w:numPr>
          <w:ilvl w:val="0"/>
          <w:numId w:val="1"/>
        </w:numPr>
        <w:spacing w:after="90"/>
      </w:pPr>
      <w:r>
        <w:t xml:space="preserve">"For your reference" section: no card/border — rendered as plain text rows on the page background, visually quieter than the bordered cards above it, reinforcing the score-affecting-vs-context distinction (§2.4, §4.3)</w:t>
      </w:r>
    </w:p>
    <w:p>
      <w:pPr>
        <w:pStyle w:val="ListParagraph"/>
        <w:numPr>
          <w:ilvl w:val="0"/>
          <w:numId w:val="1"/>
        </w:numPr>
        <w:spacing w:after="90"/>
      </w:pPr>
      <w:r>
        <w:t xml:space="preserve">Improvement tips: each tip is a row with a small leading icon (16×16 check-circle, Signal Teal), 12px gap between icon and text, 16px gap between the two tip rows</w:t>
      </w:r>
    </w:p>
    <w:p>
      <w:pPr>
        <w:pStyle w:val="ListParagraph"/>
        <w:numPr>
          <w:ilvl w:val="0"/>
          <w:numId w:val="1"/>
        </w:numPr>
        <w:spacing w:after="90"/>
      </w:pPr>
      <w:r>
        <w:t xml:space="preserve">Section spacing: 32px between major sections (headline card → breakdown → reference stats → tips → Rush Hour note), more generous than the 16px used for related-content spacing elsewhere, since these are conceptually distinct blocks a shop owner may read independently rather than as one continuous flow</w:t>
      </w:r>
    </w:p>
    <w:p>
      <w:pPr>
        <w:pStyle w:val="Heading2"/>
        <w:spacing w:after="150" w:before="300"/>
      </w:pPr>
      <w:r>
        <w:t xml:space="preserve">5.4 — Iconography</w:t>
      </w:r>
    </w:p>
    <w:p>
      <w:pPr>
        <w:pStyle w:val="ListParagraph"/>
        <w:numPr>
          <w:ilvl w:val="0"/>
          <w:numId w:val="1"/>
        </w:numPr>
        <w:spacing w:after="90"/>
      </w:pPr>
      <w:r>
        <w:t xml:space="preserve">Star icon — Warning #FFB627 filled/outline pair for the avgRating display, standard 5-star rating pattern, 16×16</w:t>
      </w:r>
    </w:p>
    <w:p>
      <w:pPr>
        <w:pStyle w:val="ListParagraph"/>
        <w:numPr>
          <w:ilvl w:val="0"/>
          <w:numId w:val="1"/>
        </w:numPr>
        <w:spacing w:after="90"/>
      </w:pPr>
      <w:r>
        <w:t xml:space="preserve">Check-circle icon — Signal Teal, 16×16, leading each improvement tip in §4.4</w:t>
      </w:r>
    </w:p>
    <w:p>
      <w:pPr>
        <w:pStyle w:val="ListParagraph"/>
        <w:numPr>
          <w:ilvl w:val="0"/>
          <w:numId w:val="1"/>
        </w:numPr>
        <w:spacing w:after="90"/>
      </w:pPr>
      <w:r>
        <w:t xml:space="preserve">Logomark pin (existing brand asset, Brand Guide §2.1) — single static instance, used only in the zero-history empty state (§4.5), per the Brand Guide's own empty-state pattern (§9.4): "no looping animation; a looping empty state reads as the app being stuck"</w:t>
      </w:r>
    </w:p>
    <w:p>
      <w:pPr>
        <w:pStyle w:val="ListParagraph"/>
        <w:numPr>
          <w:ilvl w:val="0"/>
          <w:numId w:val="1"/>
        </w:numPr>
        <w:spacing w:after="90"/>
      </w:pPr>
      <w:r>
        <w:t xml:space="preserve">No new custom iconography is introduced — every glyph here is either a standard rating-star pattern or reused directly from the Brand &amp; PWA Guide's existing asset set</w:t>
      </w:r>
    </w:p>
    <w:p>
      <w:pPr>
        <w:pStyle w:val="Heading1"/>
        <w:spacing w:after="200" w:before="400"/>
      </w:pPr>
      <w:r>
        <w:t xml:space="preserve">6. Full Copy Deck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0%"/>
            <w:shd w:fill="14213D" w:val="clear"/>
            <w:tcMar>
              <w:top w:type="dxa" w:w="80"/>
              <w:left w:type="dxa" w:w="100"/>
              <w:bottom w:type="dxa" w:w="80"/>
              <w:right w:type="dxa" w:w="100"/>
            </w:tcMar>
            <w:vAlign w:val="center"/>
          </w:tcPr>
          <w:p>
            <w:r>
              <w:rPr>
                <w:rFonts w:ascii="Inter" w:cs="Inter" w:eastAsia="Inter" w:hAnsi="Inter"/>
                <w:b/>
                <w:bCs/>
                <w:color w:val="FFFFFF"/>
                <w:sz w:val="19"/>
                <w:szCs w:val="19"/>
              </w:rPr>
              <w:t xml:space="preserve">State / Location</w:t>
            </w:r>
          </w:p>
        </w:tc>
        <w:tc>
          <w:tcPr>
            <w:tcW w:type="pct" w:w="70%"/>
            <w:shd w:fill="14213D" w:val="clear"/>
            <w:tcMar>
              <w:top w:type="dxa" w:w="80"/>
              <w:left w:type="dxa" w:w="100"/>
              <w:bottom w:type="dxa" w:w="80"/>
              <w:right w:type="dxa" w:w="100"/>
            </w:tcMar>
            <w:vAlign w:val="center"/>
          </w:tcPr>
          <w:p>
            <w:r>
              <w:rPr>
                <w:rFonts w:ascii="Inter" w:cs="Inter" w:eastAsia="Inter" w:hAnsi="Inter"/>
                <w:b/>
                <w:bCs/>
                <w:color w:val="FFFFFF"/>
                <w:sz w:val="19"/>
                <w:szCs w:val="19"/>
              </w:rPr>
              <w:t xml:space="preserve">Exact copy</w:t>
            </w:r>
          </w:p>
        </w:tc>
      </w:tr>
      <w:tr>
        <w:tc>
          <w:tcPr>
            <w:tcW w:type="pct" w:w="30%"/>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Page header</w:t>
            </w:r>
          </w:p>
        </w:tc>
        <w:tc>
          <w:tcPr>
            <w:tcW w:type="pct" w:w="70%"/>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Reliability &amp; ratings</w:t>
            </w:r>
          </w:p>
        </w:tc>
      </w:tr>
      <w:tr>
        <w:tc>
          <w:tcPr>
            <w:tcW w:type="pct" w:w="30%"/>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Score label</w:t>
            </w:r>
          </w:p>
        </w:tc>
        <w:tc>
          <w:tcPr>
            <w:tcW w:type="pct" w:w="70%"/>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Reliability score</w:t>
            </w:r>
          </w:p>
        </w:tc>
      </w:tr>
      <w:tr>
        <w:tc>
          <w:tcPr>
            <w:tcW w:type="pct" w:w="30%"/>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Score default explainer (0 rated visits)</w:t>
            </w:r>
          </w:p>
        </w:tc>
        <w:tc>
          <w:tcPr>
            <w:tcW w:type="pct" w:w="70%"/>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You haven't had a rated visit yet — this starting score isn't a performance rating, it just means you're new. It'll update after your first completed visit.</w:t>
            </w:r>
          </w:p>
        </w:tc>
      </w:tr>
      <w:tr>
        <w:tc>
          <w:tcPr>
            <w:tcW w:type="pct" w:w="30%"/>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Star rating null state</w:t>
            </w:r>
          </w:p>
        </w:tc>
        <w:tc>
          <w:tcPr>
            <w:tcW w:type="pct" w:w="70%"/>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No ratings yet</w:t>
            </w:r>
          </w:p>
        </w:tc>
      </w:tr>
      <w:tr>
        <w:tc>
          <w:tcPr>
            <w:tcW w:type="pct" w:w="30%"/>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Breakdown section header</w:t>
            </w:r>
          </w:p>
        </w:tc>
        <w:tc>
          <w:tcPr>
            <w:tcW w:type="pct" w:w="70%"/>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What makes up your score</w:t>
            </w:r>
          </w:p>
        </w:tc>
      </w:tr>
      <w:tr>
        <w:tc>
          <w:tcPr>
            <w:tcW w:type="pct" w:w="30%"/>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Split-bar labels</w:t>
            </w:r>
          </w:p>
        </w:tc>
        <w:tc>
          <w:tcPr>
            <w:tcW w:type="pct" w:w="70%"/>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Found · Not found</w:t>
            </w:r>
          </w:p>
        </w:tc>
      </w:tr>
      <w:tr>
        <w:tc>
          <w:tcPr>
            <w:tcW w:type="pct" w:w="30%"/>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Confirmed-found-rate readout</w:t>
            </w:r>
          </w:p>
        </w:tc>
        <w:tc>
          <w:tcPr>
            <w:tcW w:type="pct" w:w="70%"/>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{X}% of your rated visits were found</w:t>
            </w:r>
          </w:p>
        </w:tc>
      </w:tr>
      <w:tr>
        <w:tc>
          <w:tcPr>
            <w:tcW w:type="pct" w:w="30%"/>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Average response time</w:t>
            </w:r>
          </w:p>
        </w:tc>
        <w:tc>
          <w:tcPr>
            <w:tcW w:type="pct" w:w="70%"/>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Average response time: {T}</w:t>
            </w:r>
          </w:p>
        </w:tc>
      </w:tr>
      <w:tr>
        <w:tc>
          <w:tcPr>
            <w:tcW w:type="pct" w:w="30%"/>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Weighting note</w:t>
            </w:r>
          </w:p>
        </w:tc>
        <w:tc>
          <w:tcPr>
            <w:tcW w:type="pct" w:w="70%"/>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Your score weighs being found 70% and how fast you respond 30%.</w:t>
            </w:r>
          </w:p>
        </w:tc>
      </w:tr>
      <w:tr>
        <w:tc>
          <w:tcPr>
            <w:tcW w:type="pct" w:w="30%"/>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Reference section header</w:t>
            </w:r>
          </w:p>
        </w:tc>
        <w:tc>
          <w:tcPr>
            <w:tcW w:type="pct" w:w="70%"/>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For your reference</w:t>
            </w:r>
          </w:p>
        </w:tc>
      </w:tr>
      <w:tr>
        <w:tc>
          <w:tcPr>
            <w:tcW w:type="pct" w:w="30%"/>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Total Yes stat</w:t>
            </w:r>
          </w:p>
        </w:tc>
        <w:tc>
          <w:tcPr>
            <w:tcW w:type="pct" w:w="70%"/>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You've said Yes to {N} requests total</w:t>
            </w:r>
          </w:p>
        </w:tc>
      </w:tr>
      <w:tr>
        <w:tc>
          <w:tcPr>
            <w:tcW w:type="pct" w:w="30%"/>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Total Yes explainer</w:t>
            </w:r>
          </w:p>
        </w:tc>
        <w:tc>
          <w:tcPr>
            <w:tcW w:type="pct" w:w="70%"/>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This number doesn't affect your score — only visits where a customer picked you and rated the visit do.</w:t>
            </w:r>
          </w:p>
        </w:tc>
      </w:tr>
      <w:tr>
        <w:tc>
          <w:tcPr>
            <w:tcW w:type="pct" w:w="30%"/>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Improvement tips header</w:t>
            </w:r>
          </w:p>
        </w:tc>
        <w:tc>
          <w:tcPr>
            <w:tcW w:type="pct" w:w="70%"/>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How to improve your score</w:t>
            </w:r>
          </w:p>
        </w:tc>
      </w:tr>
      <w:tr>
        <w:tc>
          <w:tcPr>
            <w:tcW w:type="pct" w:w="30%"/>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Tip 1</w:t>
            </w:r>
          </w:p>
        </w:tc>
        <w:tc>
          <w:tcPr>
            <w:tcW w:type="pct" w:w="70%"/>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Only say Yes when you're confident you'll actually have it — a confirmed "not found" affects your score more than saying No would have.</w:t>
            </w:r>
          </w:p>
        </w:tc>
      </w:tr>
      <w:tr>
        <w:tc>
          <w:tcPr>
            <w:tcW w:type="pct" w:w="30%"/>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Tip 2</w:t>
            </w:r>
          </w:p>
        </w:tc>
        <w:tc>
          <w:tcPr>
            <w:tcW w:type="pct" w:w="70%"/>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Respond as quickly as you can — speed counts for 30% of your score, and every second counts against the response window.</w:t>
            </w:r>
          </w:p>
        </w:tc>
      </w:tr>
      <w:tr>
        <w:tc>
          <w:tcPr>
            <w:tcW w:type="pct" w:w="30%"/>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Zero-history empty state</w:t>
            </w:r>
          </w:p>
        </w:tc>
        <w:tc>
          <w:tcPr>
            <w:tcW w:type="pct" w:w="70%"/>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Your score will start reflecting real visits once a customer picks you and rates their visit. Until then, you're shown as new — this isn't a low score.</w:t>
            </w:r>
          </w:p>
        </w:tc>
      </w:tr>
      <w:tr>
        <w:tc>
          <w:tcPr>
            <w:tcW w:type="pct" w:w="30%"/>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Rush Hour usage note</w:t>
            </w:r>
          </w:p>
        </w:tc>
        <w:tc>
          <w:tcPr>
            <w:tcW w:type="pct" w:w="70%"/>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Rush hour used {N} times this week, {H} hours total — this never affects your reliability score.</w:t>
            </w:r>
          </w:p>
        </w:tc>
      </w:tr>
      <w:tr>
        <w:tc>
          <w:tcPr>
            <w:tcW w:type="pct" w:w="30%"/>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Load/refresh error</w:t>
            </w:r>
          </w:p>
        </w:tc>
        <w:tc>
          <w:tcPr>
            <w:tcW w:type="pct" w:w="70%"/>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Couldn't load your reliability data. Pull down to try again.</w:t>
            </w:r>
          </w:p>
        </w:tc>
      </w:tr>
    </w:tbl>
    <w:p>
      <w:pPr>
        <w:pStyle w:val="Heading1"/>
        <w:spacing w:after="200" w:before="400"/>
      </w:pPr>
      <w:r>
        <w:t xml:space="preserve">7. Motion &amp; Animation Specification</w:t>
      </w:r>
    </w:p>
    <w:p>
      <w:pPr>
        <w:spacing w:after="160"/>
      </w:pPr>
      <w:r>
        <w:rPr>
          <w:rFonts w:ascii="Inter" w:cs="Inter" w:eastAsia="Inter" w:hAnsi="Inter"/>
          <w:sz w:val="22"/>
          <w:szCs w:val="22"/>
        </w:rPr>
        <w:t xml:space="preserve">This is a read-only reporting page, so motion is used only for load and refresh feedback — nothing here should animate to draw attention to a number the way a marketing dashboard might, per the calm-tone rule (Brand Guide §1.4). Every token below is reused from the existing Motion Token table (§9.1) — nothing new.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8%"/>
            <w:shd w:fill="14213D" w:val="clear"/>
            <w:tcMar>
              <w:top w:type="dxa" w:w="80"/>
              <w:left w:type="dxa" w:w="100"/>
              <w:bottom w:type="dxa" w:w="80"/>
              <w:right w:type="dxa" w:w="100"/>
            </w:tcMar>
            <w:vAlign w:val="center"/>
          </w:tcPr>
          <w:p>
            <w:r>
              <w:rPr>
                <w:rFonts w:ascii="Inter" w:cs="Inter" w:eastAsia="Inter" w:hAnsi="Inter"/>
                <w:b/>
                <w:bCs/>
                <w:color w:val="FFFFFF"/>
                <w:sz w:val="19"/>
                <w:szCs w:val="19"/>
              </w:rPr>
              <w:t xml:space="preserve">Interaction</w:t>
            </w:r>
          </w:p>
        </w:tc>
        <w:tc>
          <w:tcPr>
            <w:tcW w:type="pct" w:w="24%"/>
            <w:shd w:fill="14213D" w:val="clear"/>
            <w:tcMar>
              <w:top w:type="dxa" w:w="80"/>
              <w:left w:type="dxa" w:w="100"/>
              <w:bottom w:type="dxa" w:w="80"/>
              <w:right w:type="dxa" w:w="100"/>
            </w:tcMar>
            <w:vAlign w:val="center"/>
          </w:tcPr>
          <w:p>
            <w:r>
              <w:rPr>
                <w:rFonts w:ascii="Inter" w:cs="Inter" w:eastAsia="Inter" w:hAnsi="Inter"/>
                <w:b/>
                <w:bCs/>
                <w:color w:val="FFFFFF"/>
                <w:sz w:val="19"/>
                <w:szCs w:val="19"/>
              </w:rPr>
              <w:t xml:space="preserve">Token(s) used</w:t>
            </w:r>
          </w:p>
        </w:tc>
        <w:tc>
          <w:tcPr>
            <w:tcW w:type="pct" w:w="48%"/>
            <w:shd w:fill="14213D" w:val="clear"/>
            <w:tcMar>
              <w:top w:type="dxa" w:w="80"/>
              <w:left w:type="dxa" w:w="100"/>
              <w:bottom w:type="dxa" w:w="80"/>
              <w:right w:type="dxa" w:w="100"/>
            </w:tcMar>
            <w:vAlign w:val="center"/>
          </w:tcPr>
          <w:p>
            <w:r>
              <w:rPr>
                <w:rFonts w:ascii="Inter" w:cs="Inter" w:eastAsia="Inter" w:hAnsi="Inter"/>
                <w:b/>
                <w:bCs/>
                <w:color w:val="FFFFFF"/>
                <w:sz w:val="19"/>
                <w:szCs w:val="19"/>
              </w:rPr>
              <w:t xml:space="preserve">Behavior</w:t>
            </w:r>
          </w:p>
        </w:tc>
      </w:tr>
      <w:tr>
        <w:tc>
          <w:tcPr>
            <w:tcW w:type="pct" w:w="28%"/>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Initial page load</w:t>
            </w:r>
          </w:p>
        </w:tc>
        <w:tc>
          <w:tcPr>
            <w:tcW w:type="pct" w:w="24%"/>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duration-quick (180ms), skeleton-to-content pattern (Brand Guide §9.4)</w:t>
            </w:r>
          </w:p>
        </w:tc>
        <w:tc>
          <w:tcPr>
            <w:tcW w:type="pct" w:w="48%"/>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Headline card and breakdown rows show gray Gray 100/Gray 300 skeleton placeholders with a slow shimmer, swapped for real content once GET /shops/me resolves — same pattern used elsewhere for list-shaped content</w:t>
            </w:r>
          </w:p>
        </w:tc>
      </w:tr>
      <w:tr>
        <w:tc>
          <w:tcPr>
            <w:tcW w:type="pct" w:w="28%"/>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Pull-to-refresh</w:t>
            </w:r>
          </w:p>
        </w:tc>
        <w:tc>
          <w:tcPr>
            <w:tcW w:type="pct" w:w="24%"/>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Rotating-arrow spinner (Brand Guide §9.3, "reserved for the REST-fallback polling case")</w:t>
            </w:r>
          </w:p>
        </w:tc>
        <w:tc>
          <w:tcPr>
            <w:tcW w:type="pct" w:w="48%"/>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Manual reload trigger; on completion, the score/stat values crossfade to any updated numbers over duration-quick — no animated count-up (see next row)</w:t>
            </w:r>
          </w:p>
        </w:tc>
      </w:tr>
      <w:tr>
        <w:tc>
          <w:tcPr>
            <w:tcW w:type="pct" w:w="28%"/>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Score numeral update (after a refresh where the number changed)</w:t>
            </w:r>
          </w:p>
        </w:tc>
        <w:tc>
          <w:tcPr>
            <w:tcW w:type="pct" w:w="24%"/>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No animation — instant value swap</w:t>
            </w:r>
          </w:p>
        </w:tc>
        <w:tc>
          <w:tcPr>
            <w:tcW w:type="pct" w:w="48%"/>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Explicitly not an animated count-up or roll — the Brand Guide's "live count-up never animates past the true number / neutral, never manufactures urgency" rule (§9.2, §1.4) applies with even more force here, since dramatizing a reliability score's movement could feel punitive or falsely celebratory depending on direction</w:t>
            </w:r>
          </w:p>
        </w:tc>
      </w:tr>
      <w:tr>
        <w:tc>
          <w:tcPr>
            <w:tcW w:type="pct" w:w="28%"/>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Found/Not-found split bar rendering</w:t>
            </w:r>
          </w:p>
        </w:tc>
        <w:tc>
          <w:tcPr>
            <w:tcW w:type="pct" w:w="24%"/>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duration-standard (240ms), ease-out-soft, one-time width transition from 0 to final value on first render only</w:t>
            </w:r>
          </w:p>
        </w:tc>
        <w:tc>
          <w:tcPr>
            <w:tcW w:type="pct" w:w="48%"/>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A single settle-in animation when the bar first appears (not on every refresh) — matches the "card reveal" pattern (§9.2) rather than the count-up rule above, since this is a shape settling into place, not a number ticking</w:t>
            </w:r>
          </w:p>
        </w:tc>
      </w:tr>
      <w:tr>
        <w:tc>
          <w:tcPr>
            <w:tcW w:type="pct" w:w="28%"/>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Reduced motion</w:t>
            </w:r>
          </w:p>
        </w:tc>
        <w:tc>
          <w:tcPr>
            <w:tcW w:type="pct" w:w="24%"/>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Single global override (§9.5)</w:t>
            </w:r>
          </w:p>
        </w:tc>
        <w:tc>
          <w:tcPr>
            <w:tcW w:type="pct" w:w="48%"/>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Skeleton shimmer and the one-time bar-width transition both collapse to instant per the existing override — no page-specific reduced-motion work required</w:t>
            </w:r>
          </w:p>
        </w:tc>
      </w:tr>
    </w:tbl>
    <w:p>
      <w:pPr>
        <w:pStyle w:val="Heading1"/>
        <w:spacing w:after="200" w:before="400"/>
      </w:pPr>
      <w:r>
        <w:t xml:space="preserve">8. Imagery, Graphics, Icons &amp; Video</w:t>
      </w:r>
    </w:p>
    <w:p>
      <w:pPr>
        <w:spacing w:after="160"/>
      </w:pPr>
      <w:r>
        <w:rPr>
          <w:rFonts w:ascii="Inter" w:cs="Inter" w:eastAsia="Inter" w:hAnsi="Inter"/>
          <w:sz w:val="22"/>
          <w:szCs w:val="22"/>
        </w:rPr>
        <w:t xml:space="preserve">No photography or video anywhere on this page. The only illustrative asset is the existing logomark pin, used exactly once, statically, in the zero-history empty state (§4.5, §5.4) — reusing an established brand asset rather than commissioning new artwork for a single empty state, consistent with how sparingly this page series introduces new visual assets.</w:t>
      </w:r>
    </w:p>
    <w:p>
      <w:pPr>
        <w:pStyle w:val="ListParagraph"/>
        <w:numPr>
          <w:ilvl w:val="0"/>
          <w:numId w:val="1"/>
        </w:numPr>
        <w:spacing w:after="90"/>
      </w:pPr>
      <w:r>
        <w:t xml:space="preserve">Star icons (rating display) and check-circle icons (improvement tips) are both simple, standard two-tone vector glyphs — no custom illustration work required.</w:t>
      </w:r>
    </w:p>
    <w:p>
      <w:pPr>
        <w:pStyle w:val="ListParagraph"/>
        <w:numPr>
          <w:ilvl w:val="0"/>
          <w:numId w:val="1"/>
        </w:numPr>
        <w:spacing w:after="90"/>
      </w:pPr>
      <w:r>
        <w:t xml:space="preserve">No skeleton-loader design work beyond the standard shimmer pattern already defined in the Brand Guide (§9.4) — this page reuses it directly rather than defining a new loading treatment.</w:t>
      </w:r>
    </w:p>
    <w:p>
      <w:pPr>
        <w:pStyle w:val="Heading1"/>
        <w:spacing w:after="200" w:before="400"/>
      </w:pPr>
      <w:r>
        <w:t xml:space="preserve">9. States &amp; Edge Cases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0%"/>
            <w:shd w:fill="14213D" w:val="clear"/>
            <w:tcMar>
              <w:top w:type="dxa" w:w="80"/>
              <w:left w:type="dxa" w:w="100"/>
              <w:bottom w:type="dxa" w:w="80"/>
              <w:right w:type="dxa" w:w="100"/>
            </w:tcMar>
            <w:vAlign w:val="center"/>
          </w:tcPr>
          <w:p>
            <w:r>
              <w:rPr>
                <w:rFonts w:ascii="Inter" w:cs="Inter" w:eastAsia="Inter" w:hAnsi="Inter"/>
                <w:b/>
                <w:bCs/>
                <w:color w:val="FFFFFF"/>
                <w:sz w:val="19"/>
                <w:szCs w:val="19"/>
              </w:rPr>
              <w:t xml:space="preserve">Case</w:t>
            </w:r>
          </w:p>
        </w:tc>
        <w:tc>
          <w:tcPr>
            <w:tcW w:type="pct" w:w="70%"/>
            <w:shd w:fill="14213D" w:val="clear"/>
            <w:tcMar>
              <w:top w:type="dxa" w:w="80"/>
              <w:left w:type="dxa" w:w="100"/>
              <w:bottom w:type="dxa" w:w="80"/>
              <w:right w:type="dxa" w:w="100"/>
            </w:tcMar>
            <w:vAlign w:val="center"/>
          </w:tcPr>
          <w:p>
            <w:r>
              <w:rPr>
                <w:rFonts w:ascii="Inter" w:cs="Inter" w:eastAsia="Inter" w:hAnsi="Inter"/>
                <w:b/>
                <w:bCs/>
                <w:color w:val="FFFFFF"/>
                <w:sz w:val="19"/>
                <w:szCs w:val="19"/>
              </w:rPr>
              <w:t xml:space="preserve">Behavior</w:t>
            </w:r>
          </w:p>
        </w:tc>
      </w:tr>
      <w:tr>
        <w:tc>
          <w:tcPr>
            <w:tcW w:type="pct" w:w="30%"/>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Brand-new shop, zero rated visits (foundCount + notFoundCount = 0)</w:t>
            </w:r>
          </w:p>
        </w:tc>
        <w:tc>
          <w:tcPr>
            <w:tcW w:type="pct" w:w="70%"/>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Headline score shows 50 with the default-score explainer (§4.1); breakdown section (§4.2) replaced entirely by the empty state (§4.5); star rating shows "No ratings yet" (§4.1)</w:t>
            </w:r>
          </w:p>
        </w:tc>
      </w:tr>
      <w:tr>
        <w:tc>
          <w:tcPr>
            <w:tcW w:type="pct" w:w="30%"/>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Shop has rated visits but avgRating happens to compute to exactly a round number (e.g. 4.0)</w:t>
            </w:r>
          </w:p>
        </w:tc>
        <w:tc>
          <w:tcPr>
            <w:tcW w:type="pct" w:w="70%"/>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Displayed as "4.0", not "4" — one decimal place always shown for a rated shop, distinguishing a genuine 4.0 average from the unrated null state at a glance</w:t>
            </w:r>
          </w:p>
        </w:tc>
      </w:tr>
      <w:tr>
        <w:tc>
          <w:tcPr>
            <w:tcW w:type="pct" w:w="30%"/>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Shop's score is currently in the below-50 band</w:t>
            </w:r>
          </w:p>
        </w:tc>
        <w:tc>
          <w:tcPr>
            <w:tcW w:type="pct" w:w="70%"/>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Warning-colored numeral (§5.1); the improvement tips (§4.4) are shown with no additional "you're underperforming" framing beyond the standard tip copy — the page never scolds, per the calm-tone rule (Brand Guide §1.4)</w:t>
            </w:r>
          </w:p>
        </w:tc>
      </w:tr>
      <w:tr>
        <w:tc>
          <w:tcPr>
            <w:tcW w:type="pct" w:w="30%"/>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GET /shops/me fails to load (network/5xx)</w:t>
            </w:r>
          </w:p>
        </w:tc>
        <w:tc>
          <w:tcPr>
            <w:tcW w:type="pct" w:w="70%"/>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Skeleton placeholders remain, replaced by an inline error state: "Couldn't load your reliability data. Pull down to try again." (§6) with the pull-to-refresh affordance still available</w:t>
            </w:r>
          </w:p>
        </w:tc>
      </w:tr>
      <w:tr>
        <w:tc>
          <w:tcPr>
            <w:tcW w:type="pct" w:w="30%"/>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Shop has said Yes many times but never been selected (totalYes high, foundCount + notFoundCount = 0)</w:t>
            </w:r>
          </w:p>
        </w:tc>
        <w:tc>
          <w:tcPr>
            <w:tcW w:type="pct" w:w="70%"/>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Still renders the full zero-history empty state (§4.5) — a high totalYes with no rated visits is exactly the scenario §2.4's explainer text is written to pre-empt, so the reference-section explainer (§4.3) and the empty state work together to make this non-confusing</w:t>
            </w:r>
          </w:p>
        </w:tc>
      </w:tr>
      <w:tr>
        <w:tc>
          <w:tcPr>
            <w:tcW w:type="pct" w:w="30%"/>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Shop status becomes blocked while viewing this page</w:t>
            </w:r>
          </w:p>
        </w:tc>
        <w:tc>
          <w:tcPr>
            <w:tcW w:type="pct" w:w="70%"/>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Page remains viewable (this is a read-only reporting screen, not an action screen) — no persistent banner is required here unlike the Outlet Management and Opening Hours pages, since there's nothing on this page a blocked shop could attempt and fail at</w:t>
            </w:r>
          </w:p>
        </w:tc>
      </w:tr>
      <w:tr>
        <w:tc>
          <w:tcPr>
            <w:tcW w:type="pct" w:w="30%"/>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avgResponseSeconds is very small (near-instant historical average)</w:t>
            </w:r>
          </w:p>
        </w:tc>
        <w:tc>
          <w:tcPr>
            <w:tcW w:type="pct" w:w="70%"/>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Displayed as "&lt; 5 sec" rather than "4 sec" for values under 5 seconds, avoiding a false sense of precision at the low end</w:t>
            </w:r>
          </w:p>
        </w:tc>
      </w:tr>
    </w:tbl>
    <w:p>
      <w:pPr>
        <w:pStyle w:val="Heading1"/>
        <w:spacing w:after="200" w:before="400"/>
      </w:pPr>
      <w:r>
        <w:t xml:space="preserve">10. Accessibility</w:t>
      </w:r>
    </w:p>
    <w:p>
      <w:pPr>
        <w:pStyle w:val="ListParagraph"/>
        <w:numPr>
          <w:ilvl w:val="0"/>
          <w:numId w:val="1"/>
        </w:numPr>
        <w:spacing w:after="90"/>
      </w:pPr>
      <w:r>
        <w:t xml:space="preserve">The headline score's color-coding (§5.1) is never the only signal — the numeral itself and the default-score explainer text always carry the same information in words, so a color-blind or screen-reader user gets the full picture without relying on the band color.</w:t>
      </w:r>
    </w:p>
    <w:p>
      <w:pPr>
        <w:pStyle w:val="ListParagraph"/>
        <w:numPr>
          <w:ilvl w:val="0"/>
          <w:numId w:val="1"/>
        </w:numPr>
        <w:spacing w:after="90"/>
      </w:pPr>
      <w:r>
        <w:t xml:space="preserve">The Found/Not-found split bar has an accessible text equivalent immediately adjacent (the counts and the confirmed-found-rate readout, §4.2) rather than requiring the bar's proportions to be interpreted visually.</w:t>
      </w:r>
    </w:p>
    <w:p>
      <w:pPr>
        <w:pStyle w:val="ListParagraph"/>
        <w:numPr>
          <w:ilvl w:val="0"/>
          <w:numId w:val="1"/>
        </w:numPr>
        <w:spacing w:after="90"/>
      </w:pPr>
      <w:r>
        <w:t xml:space="preserve">Star ratings include a text numeral ("4.2") alongside the star glyphs, and the glyphs themselves carry an aria-label ("4.2 out of 5 stars") rather than relying on a screen reader parsing five separate star icons.</w:t>
      </w:r>
    </w:p>
    <w:p>
      <w:pPr>
        <w:pStyle w:val="ListParagraph"/>
        <w:numPr>
          <w:ilvl w:val="0"/>
          <w:numId w:val="1"/>
        </w:numPr>
        <w:spacing w:after="90"/>
      </w:pPr>
      <w:r>
        <w:t xml:space="preserve">All section headers use real heading elements (H1/H2) in document order, so screen-reader users can navigate the page by heading exactly as the visual hierarchy in §5.2 implies.</w:t>
      </w:r>
    </w:p>
    <w:p>
      <w:pPr>
        <w:pStyle w:val="ListParagraph"/>
        <w:numPr>
          <w:ilvl w:val="0"/>
          <w:numId w:val="1"/>
        </w:numPr>
        <w:spacing w:after="90"/>
      </w:pPr>
      <w:r>
        <w:t xml:space="preserve">Reduced motion: fully covered by the existing global override (§7) — no page-specific work required.</w:t>
      </w:r>
    </w:p>
    <w:p>
      <w:pPr>
        <w:pStyle w:val="ListParagraph"/>
        <w:numPr>
          <w:ilvl w:val="0"/>
          <w:numId w:val="1"/>
        </w:numPr>
        <w:spacing w:after="90"/>
      </w:pPr>
      <w:r>
        <w:t xml:space="preserve">Minimum 44×44px touch target on the pull-to-refresh gesture area / manual reload trigger, consistent with every other page in this series.</w:t>
      </w:r>
    </w:p>
    <w:p>
      <w:pPr>
        <w:pStyle w:val="Heading1"/>
        <w:spacing w:after="200" w:before="400"/>
      </w:pPr>
      <w:r>
        <w:t xml:space="preserve">11. Admin Visibility &amp; Data Management</w:t>
      </w:r>
    </w:p>
    <w:p>
      <w:pPr>
        <w:spacing w:after="160"/>
      </w:pPr>
      <w:r>
        <w:rPr>
          <w:rFonts w:ascii="Inter" w:cs="Inter" w:eastAsia="Inter" w:hAnsi="Inter"/>
          <w:sz w:val="22"/>
          <w:szCs w:val="22"/>
        </w:rPr>
        <w:t xml:space="preserve">Every figure on this page is already visible to admin through the existing shop-profile drill-down — no new admin-side work is required.</w:t>
      </w:r>
    </w:p>
    <w:p>
      <w:pPr>
        <w:pStyle w:val="ListParagraph"/>
        <w:numPr>
          <w:ilvl w:val="0"/>
          <w:numId w:val="1"/>
        </w:numPr>
        <w:spacing w:after="90"/>
      </w:pPr>
      <w:r>
        <w:t xml:space="preserve">All Shops directory (Page Architecture page 3.4): an admin viewing any shop's full profile already sees reliabilityScore, avgRating, and the underlying counts, since they're standard fields on the shops document (§4.2) — this page introduces no new admin-facing surface.</w:t>
      </w:r>
    </w:p>
    <w:p>
      <w:pPr>
        <w:pStyle w:val="ListParagraph"/>
        <w:numPr>
          <w:ilvl w:val="0"/>
          <w:numId w:val="1"/>
        </w:numPr>
        <w:spacing w:after="90"/>
      </w:pPr>
      <w:r>
        <w:t xml:space="preserve">GET /admin/analytics (Master Build Document §5.4) aggregates platform-wide metrics (fulfilmentRate, activeShops, etc.) that are computed from the same underlying requests/shopResponses/feedback collections this page's per-shop figures are drawn from — the two views are consistent by construction, since both read the same source data, just at different aggregation levels.</w:t>
      </w:r>
    </w:p>
    <w:p>
      <w:pPr>
        <w:pStyle w:val="ListParagraph"/>
        <w:numPr>
          <w:ilvl w:val="0"/>
          <w:numId w:val="1"/>
        </w:numPr>
        <w:spacing w:after="90"/>
      </w:pPr>
      <w:r>
        <w:t xml:space="preserve">No interaction with the Reports queue (page 3.6) — this is a read-only self-view with no action a shop owner could take here that would generate a report.</w:t>
      </w:r>
    </w:p>
    <w:p>
      <w:pPr>
        <w:pStyle w:val="Heading1"/>
        <w:spacing w:after="200" w:before="400"/>
      </w:pPr>
      <w:r>
        <w:t xml:space="preserve">12. Component Inventory — Developer Handoff</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6%"/>
            <w:shd w:fill="14213D" w:val="clear"/>
            <w:tcMar>
              <w:top w:type="dxa" w:w="80"/>
              <w:left w:type="dxa" w:w="100"/>
              <w:bottom w:type="dxa" w:w="80"/>
              <w:right w:type="dxa" w:w="100"/>
            </w:tcMar>
            <w:vAlign w:val="center"/>
          </w:tcPr>
          <w:p>
            <w:r>
              <w:rPr>
                <w:rFonts w:ascii="Inter" w:cs="Inter" w:eastAsia="Inter" w:hAnsi="Inter"/>
                <w:b/>
                <w:bCs/>
                <w:color w:val="FFFFFF"/>
                <w:sz w:val="19"/>
                <w:szCs w:val="19"/>
              </w:rPr>
              <w:t xml:space="preserve">Component</w:t>
            </w:r>
          </w:p>
        </w:tc>
        <w:tc>
          <w:tcPr>
            <w:tcW w:type="pct" w:w="18%"/>
            <w:shd w:fill="14213D" w:val="clear"/>
            <w:tcMar>
              <w:top w:type="dxa" w:w="80"/>
              <w:left w:type="dxa" w:w="100"/>
              <w:bottom w:type="dxa" w:w="80"/>
              <w:right w:type="dxa" w:w="100"/>
            </w:tcMar>
            <w:vAlign w:val="center"/>
          </w:tcPr>
          <w:p>
            <w:r>
              <w:rPr>
                <w:rFonts w:ascii="Inter" w:cs="Inter" w:eastAsia="Inter" w:hAnsi="Inter"/>
                <w:b/>
                <w:bCs/>
                <w:color w:val="FFFFFF"/>
                <w:sz w:val="19"/>
                <w:szCs w:val="19"/>
              </w:rPr>
              <w:t xml:space="preserve">Type</w:t>
            </w:r>
          </w:p>
        </w:tc>
        <w:tc>
          <w:tcPr>
            <w:tcW w:type="pct" w:w="30%"/>
            <w:shd w:fill="14213D" w:val="clear"/>
            <w:tcMar>
              <w:top w:type="dxa" w:w="80"/>
              <w:left w:type="dxa" w:w="100"/>
              <w:bottom w:type="dxa" w:w="80"/>
              <w:right w:type="dxa" w:w="100"/>
            </w:tcMar>
            <w:vAlign w:val="center"/>
          </w:tcPr>
          <w:p>
            <w:r>
              <w:rPr>
                <w:rFonts w:ascii="Inter" w:cs="Inter" w:eastAsia="Inter" w:hAnsi="Inter"/>
                <w:b/>
                <w:bCs/>
                <w:color w:val="FFFFFF"/>
                <w:sz w:val="19"/>
                <w:szCs w:val="19"/>
              </w:rPr>
              <w:t xml:space="preserve">States</w:t>
            </w:r>
          </w:p>
        </w:tc>
        <w:tc>
          <w:tcPr>
            <w:tcW w:type="pct" w:w="26%"/>
            <w:shd w:fill="14213D" w:val="clear"/>
            <w:tcMar>
              <w:top w:type="dxa" w:w="80"/>
              <w:left w:type="dxa" w:w="100"/>
              <w:bottom w:type="dxa" w:w="80"/>
              <w:right w:type="dxa" w:w="100"/>
            </w:tcMar>
            <w:vAlign w:val="center"/>
          </w:tcPr>
          <w:p>
            <w:r>
              <w:rPr>
                <w:rFonts w:ascii="Inter" w:cs="Inter" w:eastAsia="Inter" w:hAnsi="Inter"/>
                <w:b/>
                <w:bCs/>
                <w:color w:val="FFFFFF"/>
                <w:sz w:val="19"/>
                <w:szCs w:val="19"/>
              </w:rPr>
              <w:t xml:space="preserve">Key tokens</w:t>
            </w:r>
          </w:p>
        </w:tc>
      </w:tr>
      <w:tr>
        <w:tc>
          <w:tcPr>
            <w:tcW w:type="pct" w:w="26%"/>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ReliabilityScoreCard</w:t>
            </w:r>
          </w:p>
        </w:tc>
        <w:tc>
          <w:tcPr>
            <w:tcW w:type="pct" w:w="18%"/>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Composite (numeral + label + explainer)</w:t>
            </w:r>
          </w:p>
        </w:tc>
        <w:tc>
          <w:tcPr>
            <w:tcW w:type="pct" w:w="30%"/>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scored (3 color bands), zero-history-default</w:t>
            </w:r>
          </w:p>
        </w:tc>
        <w:tc>
          <w:tcPr>
            <w:tcW w:type="pct" w:w="26%"/>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Display, Caption, Signal Teal / Gray 900 / Warning, duration-standard</w:t>
            </w:r>
          </w:p>
        </w:tc>
      </w:tr>
      <w:tr>
        <w:tc>
          <w:tcPr>
            <w:tcW w:type="pct" w:w="26%"/>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StarRatingDisplay</w:t>
            </w:r>
          </w:p>
        </w:tc>
        <w:tc>
          <w:tcPr>
            <w:tcW w:type="pct" w:w="18%"/>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Composite (icons + numeral)</w:t>
            </w:r>
          </w:p>
        </w:tc>
        <w:tc>
          <w:tcPr>
            <w:tcW w:type="pct" w:w="30%"/>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rated, null ("No ratings yet")</w:t>
            </w:r>
          </w:p>
        </w:tc>
        <w:tc>
          <w:tcPr>
            <w:tcW w:type="pct" w:w="26%"/>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Warning, Body, Caption</w:t>
            </w:r>
          </w:p>
        </w:tc>
      </w:tr>
      <w:tr>
        <w:tc>
          <w:tcPr>
            <w:tcW w:type="pct" w:w="26%"/>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FoundNotFoundSplitBar</w:t>
            </w:r>
          </w:p>
        </w:tc>
        <w:tc>
          <w:tcPr>
            <w:tcW w:type="pct" w:w="18%"/>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Composite (bar + labels + readout)</w:t>
            </w:r>
          </w:p>
        </w:tc>
        <w:tc>
          <w:tcPr>
            <w:tcW w:type="pct" w:w="30%"/>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populated, zero-history (hidden, replaced by empty state)</w:t>
            </w:r>
          </w:p>
        </w:tc>
        <w:tc>
          <w:tcPr>
            <w:tcW w:type="pct" w:w="26%"/>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Signal Teal / Danger, Caption, Body, duration-standard</w:t>
            </w:r>
          </w:p>
        </w:tc>
      </w:tr>
      <w:tr>
        <w:tc>
          <w:tcPr>
            <w:tcW w:type="pct" w:w="26%"/>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ReferenceStatsRow</w:t>
            </w:r>
          </w:p>
        </w:tc>
        <w:tc>
          <w:tcPr>
            <w:tcW w:type="pct" w:w="18%"/>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Plain text rows (no card)</w:t>
            </w:r>
          </w:p>
        </w:tc>
        <w:tc>
          <w:tcPr>
            <w:tcW w:type="pct" w:w="30%"/>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populated</w:t>
            </w:r>
          </w:p>
        </w:tc>
        <w:tc>
          <w:tcPr>
            <w:tcW w:type="pct" w:w="26%"/>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Caption</w:t>
            </w:r>
          </w:p>
        </w:tc>
      </w:tr>
      <w:tr>
        <w:tc>
          <w:tcPr>
            <w:tcW w:type="pct" w:w="26%"/>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ImprovementTipsList</w:t>
            </w:r>
          </w:p>
        </w:tc>
        <w:tc>
          <w:tcPr>
            <w:tcW w:type="pct" w:w="18%"/>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Static list (2 fixed tips)</w:t>
            </w:r>
          </w:p>
        </w:tc>
        <w:tc>
          <w:tcPr>
            <w:tcW w:type="pct" w:w="30%"/>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always visible</w:t>
            </w:r>
          </w:p>
        </w:tc>
        <w:tc>
          <w:tcPr>
            <w:tcW w:type="pct" w:w="26%"/>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Body, Caption, check-circle icon</w:t>
            </w:r>
          </w:p>
        </w:tc>
      </w:tr>
      <w:tr>
        <w:tc>
          <w:tcPr>
            <w:tcW w:type="pct" w:w="26%"/>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ZeroHistoryEmptyState</w:t>
            </w:r>
          </w:p>
        </w:tc>
        <w:tc>
          <w:tcPr>
            <w:tcW w:type="pct" w:w="18%"/>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Composite (logomark + copy)</w:t>
            </w:r>
          </w:p>
        </w:tc>
        <w:tc>
          <w:tcPr>
            <w:tcW w:type="pct" w:w="30%"/>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visible only pre-first-rated-visit</w:t>
            </w:r>
          </w:p>
        </w:tc>
        <w:tc>
          <w:tcPr>
            <w:tcW w:type="pct" w:w="26%"/>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Body, logomark pin asset (static, no animation)</w:t>
            </w:r>
          </w:p>
        </w:tc>
      </w:tr>
      <w:tr>
        <w:tc>
          <w:tcPr>
            <w:tcW w:type="pct" w:w="26%"/>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RushHourUsageNote</w:t>
            </w:r>
          </w:p>
        </w:tc>
        <w:tc>
          <w:tcPr>
            <w:tcW w:type="pct" w:w="18%"/>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Text block (cross-referenced from Rush-Hour spec §4.8)</w:t>
            </w:r>
          </w:p>
        </w:tc>
        <w:tc>
          <w:tcPr>
            <w:tcW w:type="pct" w:w="30%"/>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visible if usage &gt; 0 this week, else omitted</w:t>
            </w:r>
          </w:p>
        </w:tc>
        <w:tc>
          <w:tcPr>
            <w:tcW w:type="pct" w:w="26%"/>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Caption</w:t>
            </w:r>
          </w:p>
        </w:tc>
      </w:tr>
    </w:tbl>
    <w:p>
      <w:pPr>
        <w:spacing w:after="160"/>
      </w:pPr>
      <w:r>
        <w:rPr>
          <w:rFonts w:ascii="Inter" w:cs="Inter" w:eastAsia="Inter" w:hAnsi="Inter"/>
          <w:sz w:val="22"/>
          <w:szCs w:val="22"/>
        </w:rPr>
        <w:t xml:space="preserve">Seven page-specific composites, all built from existing design-system primitives (icons, type roles, color tokens, motion tokens) already established across this documentation series — no new primitive is introduced.</w:t>
      </w:r>
    </w:p>
    <w:p>
      <w:pPr>
        <w:pStyle w:val="Heading1"/>
        <w:spacing w:after="200" w:before="400"/>
      </w:pPr>
      <w:r>
        <w:t xml:space="preserve">Appendix A — Quick Reference: What's New vs. Reused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4213D" w:val="clear"/>
            <w:tcMar>
              <w:top w:type="dxa" w:w="80"/>
              <w:left w:type="dxa" w:w="100"/>
              <w:bottom w:type="dxa" w:w="80"/>
              <w:right w:type="dxa" w:w="100"/>
            </w:tcMar>
            <w:vAlign w:val="center"/>
          </w:tcPr>
          <w:p>
            <w:r>
              <w:rPr>
                <w:rFonts w:ascii="Inter" w:cs="Inter" w:eastAsia="Inter" w:hAnsi="Inter"/>
                <w:b/>
                <w:bCs/>
                <w:color w:val="FFFFFF"/>
                <w:sz w:val="19"/>
                <w:szCs w:val="19"/>
              </w:rPr>
              <w:t xml:space="preserve">New for this feature</w:t>
            </w:r>
          </w:p>
        </w:tc>
        <w:tc>
          <w:tcPr>
            <w:tcW w:type="pct" w:w="50%"/>
            <w:shd w:fill="14213D" w:val="clear"/>
            <w:tcMar>
              <w:top w:type="dxa" w:w="80"/>
              <w:left w:type="dxa" w:w="100"/>
              <w:bottom w:type="dxa" w:w="80"/>
              <w:right w:type="dxa" w:w="100"/>
            </w:tcMar>
            <w:vAlign w:val="center"/>
          </w:tcPr>
          <w:p>
            <w:r>
              <w:rPr>
                <w:rFonts w:ascii="Inter" w:cs="Inter" w:eastAsia="Inter" w:hAnsi="Inter"/>
                <w:b/>
                <w:bCs/>
                <w:color w:val="FFFFFF"/>
                <w:sz w:val="19"/>
                <w:szCs w:val="19"/>
              </w:rPr>
              <w:t xml:space="preserve">Reused as-is from existing docs</w:t>
            </w:r>
          </w:p>
        </w:tc>
      </w:tr>
      <w:tr>
        <w:tc>
          <w:tcPr>
            <w:tcW w:type="pct" w:w="50%"/>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Nothing — no new fields, endpoints, or business logic</w:t>
            </w:r>
          </w:p>
        </w:tc>
        <w:tc>
          <w:tcPr>
            <w:tcW w:type="pct" w:w="50%"/>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Every color token (§3.2, Brand Guide)</w:t>
            </w:r>
          </w:p>
        </w:tc>
      </w:tr>
      <w:tr>
        <w:tc>
          <w:tcPr>
            <w:tcW w:type="pct" w:w="50%"/>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Copy deck (§6 of this document)</w:t>
            </w:r>
          </w:p>
        </w:tc>
        <w:tc>
          <w:tcPr>
            <w:tcW w:type="pct" w:w="50%"/>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Every type-scale role (§4.2, Brand Guide), including Display for the score numeral</w:t>
            </w:r>
          </w:p>
        </w:tc>
      </w:tr>
      <w:tr>
        <w:tc>
          <w:tcPr>
            <w:tcW w:type="pct" w:w="50%"/>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Score color-band thresholds (§5.1) — a UI-only display convention, no new data</w:t>
            </w:r>
          </w:p>
        </w:tc>
        <w:tc>
          <w:tcPr>
            <w:tcW w:type="pct" w:w="50%"/>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reliabilityScore formula, unchanged (§3.1.2, Master Build Document)</w:t>
            </w:r>
          </w:p>
        </w:tc>
      </w:tr>
      <w:tr>
        <w:tc>
          <w:tcPr>
            <w:tcW w:type="pct" w:w="50%"/>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Static improvement-tips copy (§4.4), derived directly from the formula's two weighted factors</w:t>
            </w:r>
          </w:p>
        </w:tc>
        <w:tc>
          <w:tcPr>
            <w:tcW w:type="pct" w:w="50%"/>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GET /shops/me endpoint, unchanged (§5.3, Master Build Document)</w:t>
            </w:r>
          </w:p>
        </w:tc>
      </w:tr>
      <w:tr>
        <w:tc>
          <w:tcPr>
            <w:tcW w:type="pct" w:w="50%"/>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
            </w:r>
          </w:p>
        </w:tc>
        <w:tc>
          <w:tcPr>
            <w:tcW w:type="pct" w:w="50%"/>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Skeleton-loader and pull-to-refresh patterns (§9.3, §9.4, Brand Guide)</w:t>
            </w:r>
          </w:p>
        </w:tc>
      </w:tr>
      <w:tr>
        <w:tc>
          <w:tcPr>
            <w:tcW w:type="pct" w:w="50%"/>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
            </w:r>
          </w:p>
        </w:tc>
        <w:tc>
          <w:tcPr>
            <w:tcW w:type="pct" w:w="50%"/>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Empty-state pattern using the static logomark pin (§9.4, Brand Guide)</w:t>
            </w:r>
          </w:p>
        </w:tc>
      </w:tr>
      <w:tr>
        <w:tc>
          <w:tcPr>
            <w:tcW w:type="pct" w:w="50%"/>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
            </w:r>
          </w:p>
        </w:tc>
        <w:tc>
          <w:tcPr>
            <w:tcW w:type="pct" w:w="50%"/>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Reduced-motion global override (§9.5, Brand Guide)</w:t>
            </w:r>
          </w:p>
        </w:tc>
      </w:tr>
    </w:tbl>
    <w:p>
      <w:pPr>
        <w:spacing w:before="300"/>
        <w:jc w:val="center"/>
      </w:pPr>
      <w:r>
        <w:rPr>
          <w:rFonts w:ascii="Inter" w:cs="Inter" w:eastAsia="Inter" w:hAnsi="Inter"/>
          <w:i/>
          <w:iCs/>
          <w:color w:val="5B6472"/>
          <w:sz w:val="20"/>
          <w:szCs w:val="20"/>
        </w:rPr>
        <w:t xml:space="preserve">— End of specification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Inter" w:cs="Inter" w:eastAsia="Inter" w:hAnsi="Inter"/>
        <w:color w:val="5B6472"/>
        <w:sz w:val="16"/>
        <w:szCs w:val="16"/>
      </w:rPr>
      <w:t xml:space="preserve">Page </w:t>
    </w:r>
    <w:r>
      <w:rPr>
        <w:rFonts w:ascii="Inter" w:cs="Inter" w:eastAsia="Inter" w:hAnsi="Inter"/>
        <w:color w:val="5B647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Inter" w:cs="Inter" w:eastAsia="Inter" w:hAnsi="Inter"/>
        <w:color w:val="5B6472"/>
        <w:sz w:val="16"/>
        <w:szCs w:val="16"/>
      </w:rPr>
      <w:t xml:space="preserve">NEARBY — Reliability &amp; Ratings View Page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1421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Para">
    <w:name w:val="Normal Para"/>
    <w:basedOn w:val="Normal"/>
    <w:rPr>
      <w:rFonts w:ascii="Inter" w:cs="Inter" w:eastAsia="Inter" w:hAnsi="Inter"/>
      <w:color w:val="14213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2026-09-02T01:57:53.955Z</dcterms:created>
  <dcterms:modified xsi:type="dcterms:W3CDTF">2026-09-02T01:57:53.965Z</dcterms:modified>
</cp:coreProperties>
</file>

<file path=docProps/custom.xml><?xml version="1.0" encoding="utf-8"?>
<Properties xmlns="http://schemas.openxmlformats.org/officeDocument/2006/custom-properties" xmlns:vt="http://schemas.openxmlformats.org/officeDocument/2006/docPropsVTypes"/>
</file>