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BE9DB" w14:textId="35A5F152" w:rsidR="00FB47E4" w:rsidRPr="00264A6B" w:rsidRDefault="00CB381E" w:rsidP="00264A6B">
      <w:pPr>
        <w:jc w:val="center"/>
        <w:rPr>
          <w:b/>
          <w:bCs/>
          <w:sz w:val="28"/>
          <w:szCs w:val="28"/>
          <w:u w:val="single"/>
          <w:shd w:val="pct15" w:color="auto" w:fill="FFFFFF"/>
        </w:rPr>
      </w:pPr>
      <w:r w:rsidRPr="00CB381E">
        <w:rPr>
          <w:b/>
          <w:bCs/>
          <w:sz w:val="28"/>
          <w:szCs w:val="28"/>
          <w:u w:val="single"/>
          <w:shd w:val="pct15" w:color="auto" w:fill="FFFFFF"/>
        </w:rPr>
        <w:t>「GSNによる機能安全論証」 計画書</w:t>
      </w:r>
    </w:p>
    <w:p w14:paraId="78D1368C" w14:textId="77777777" w:rsidR="00FB47E4" w:rsidRDefault="00FB47E4" w:rsidP="00FB47E4"/>
    <w:p w14:paraId="2FE72D42" w14:textId="77777777" w:rsidR="00FB47E4" w:rsidRPr="008C064A" w:rsidRDefault="00FB47E4" w:rsidP="00FB47E4">
      <w:pPr>
        <w:rPr>
          <w:b/>
          <w:bCs/>
        </w:rPr>
      </w:pPr>
      <w:r w:rsidRPr="008C064A">
        <w:rPr>
          <w:b/>
          <w:bCs/>
        </w:rPr>
        <w:t>1. 背景・課題</w:t>
      </w:r>
    </w:p>
    <w:p w14:paraId="78213505" w14:textId="02AB4F81" w:rsidR="00DB39BA" w:rsidRDefault="00DB39BA" w:rsidP="00335EE6">
      <w:pPr>
        <w:ind w:firstLineChars="100" w:firstLine="210"/>
      </w:pPr>
      <w:r>
        <w:rPr>
          <w:rFonts w:hint="eastAsia"/>
        </w:rPr>
        <w:t>（１）I</w:t>
      </w:r>
      <w:r>
        <w:t>SO26262</w:t>
      </w:r>
      <w:r>
        <w:rPr>
          <w:rFonts w:hint="eastAsia"/>
        </w:rPr>
        <w:t>規格</w:t>
      </w:r>
    </w:p>
    <w:p w14:paraId="3D815AD3" w14:textId="705E9904" w:rsidR="00D22E87" w:rsidRDefault="00D22E87" w:rsidP="00335EE6">
      <w:pPr>
        <w:ind w:firstLineChars="100" w:firstLine="210"/>
      </w:pPr>
      <w:r>
        <w:rPr>
          <w:rFonts w:hint="eastAsia"/>
        </w:rPr>
        <w:t>自動車業界における</w:t>
      </w:r>
      <w:r>
        <w:t>ISO 26262に準拠した機能安全の要求が高まる中、当社においても機能安全論証の強化が必要となっている。現在の論証では、十分に体系化された論理的構造が不足しており、外部監査や顧客への説明において</w:t>
      </w:r>
      <w:r>
        <w:rPr>
          <w:rFonts w:hint="eastAsia"/>
        </w:rPr>
        <w:t>、</w:t>
      </w:r>
      <w:r>
        <w:t>十分な論理的構造を提供することが難しくなって</w:t>
      </w:r>
      <w:r>
        <w:rPr>
          <w:rFonts w:hint="eastAsia"/>
        </w:rPr>
        <w:t>いる</w:t>
      </w:r>
      <w:r>
        <w:t>。</w:t>
      </w:r>
    </w:p>
    <w:p w14:paraId="6AC42DC4" w14:textId="50B7B9D1" w:rsidR="00D22E87" w:rsidRDefault="00D22E87" w:rsidP="00335EE6">
      <w:pPr>
        <w:ind w:firstLineChars="100" w:firstLine="210"/>
      </w:pPr>
      <w:r>
        <w:t>GSN（Goal Structuring Notation）を導入することで、機能安全論証を可視化し、要求から証拠までの論理的な流れを明確にすることを目指す。</w:t>
      </w:r>
    </w:p>
    <w:p w14:paraId="0FF0A8FC" w14:textId="2884A843" w:rsidR="003B527D" w:rsidRDefault="00A044E0" w:rsidP="00335EE6">
      <w:pPr>
        <w:ind w:firstLineChars="100" w:firstLine="210"/>
      </w:pPr>
      <w:r w:rsidRPr="00A044E0">
        <w:rPr>
          <w:rFonts w:hint="eastAsia"/>
          <w:noProof/>
        </w:rPr>
        <w:drawing>
          <wp:anchor distT="0" distB="0" distL="114300" distR="114300" simplePos="0" relativeHeight="251660288" behindDoc="0" locked="0" layoutInCell="1" allowOverlap="1" wp14:anchorId="5B073F8E" wp14:editId="74B40FBF">
            <wp:simplePos x="0" y="0"/>
            <wp:positionH relativeFrom="margin">
              <wp:posOffset>2983865</wp:posOffset>
            </wp:positionH>
            <wp:positionV relativeFrom="paragraph">
              <wp:posOffset>347980</wp:posOffset>
            </wp:positionV>
            <wp:extent cx="2203450" cy="1794562"/>
            <wp:effectExtent l="0" t="0" r="635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3450" cy="17945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DE3">
        <w:rPr>
          <w:rFonts w:hint="eastAsia"/>
        </w:rPr>
        <w:t>I</w:t>
      </w:r>
      <w:r w:rsidR="008C6DE3">
        <w:t>SO26262</w:t>
      </w:r>
      <w:r w:rsidR="00D22E87">
        <w:rPr>
          <w:rFonts w:hint="eastAsia"/>
        </w:rPr>
        <w:t>（</w:t>
      </w:r>
      <w:r w:rsidR="00D22E87">
        <w:t xml:space="preserve">Part10 </w:t>
      </w:r>
      <w:r w:rsidR="00D22E87">
        <w:rPr>
          <w:rFonts w:hint="eastAsia"/>
        </w:rPr>
        <w:t>5</w:t>
      </w:r>
      <w:r w:rsidR="00D22E87">
        <w:t>.</w:t>
      </w:r>
      <w:r w:rsidR="00D22E87">
        <w:rPr>
          <w:rFonts w:hint="eastAsia"/>
        </w:rPr>
        <w:t>セーフティーケースの理解）</w:t>
      </w:r>
      <w:r w:rsidR="008C6DE3">
        <w:rPr>
          <w:rFonts w:hint="eastAsia"/>
        </w:rPr>
        <w:t>では以下の3つを主要エレメントとして挙げている。</w:t>
      </w:r>
    </w:p>
    <w:p w14:paraId="3748BE32" w14:textId="3977159B" w:rsidR="00CF71E6" w:rsidRPr="00CF71E6" w:rsidRDefault="00CF71E6" w:rsidP="00FB47E4"/>
    <w:p w14:paraId="01F4BBC3" w14:textId="32F4EB74" w:rsidR="003B527D" w:rsidRDefault="00CF71E6" w:rsidP="00FB47E4">
      <w:r>
        <w:rPr>
          <w:rFonts w:hint="eastAsia"/>
        </w:rPr>
        <w:t>・</w:t>
      </w:r>
      <w:r w:rsidR="003B527D">
        <w:rPr>
          <w:rFonts w:hint="eastAsia"/>
        </w:rPr>
        <w:t>要求</w:t>
      </w:r>
    </w:p>
    <w:p w14:paraId="1E0FC56F" w14:textId="3FCD8496" w:rsidR="003B527D" w:rsidRPr="007B31B3" w:rsidRDefault="00CF71E6" w:rsidP="00FB47E4">
      <w:pPr>
        <w:rPr>
          <w:b/>
          <w:bCs/>
        </w:rPr>
      </w:pPr>
      <w:r w:rsidRPr="007B31B3">
        <w:rPr>
          <w:rFonts w:hint="eastAsia"/>
          <w:b/>
          <w:bCs/>
        </w:rPr>
        <w:t>・</w:t>
      </w:r>
      <w:r w:rsidR="003B527D" w:rsidRPr="007B31B3">
        <w:rPr>
          <w:rFonts w:hint="eastAsia"/>
          <w:b/>
          <w:bCs/>
        </w:rPr>
        <w:t>論証</w:t>
      </w:r>
    </w:p>
    <w:p w14:paraId="27ABF209" w14:textId="490B893F" w:rsidR="003B527D" w:rsidRDefault="00CF71E6" w:rsidP="00FB47E4">
      <w:r>
        <w:rPr>
          <w:rFonts w:hint="eastAsia"/>
        </w:rPr>
        <w:t>・</w:t>
      </w:r>
      <w:r w:rsidR="003B527D">
        <w:rPr>
          <w:rFonts w:hint="eastAsia"/>
        </w:rPr>
        <w:t>証拠、すなわち</w:t>
      </w:r>
      <w:r w:rsidR="003B527D">
        <w:t>ISO26262</w:t>
      </w:r>
      <w:r w:rsidR="003B527D">
        <w:rPr>
          <w:rFonts w:hint="eastAsia"/>
        </w:rPr>
        <w:t>の作業成果物</w:t>
      </w:r>
    </w:p>
    <w:p w14:paraId="3AF81F47" w14:textId="77777777" w:rsidR="003B527D" w:rsidRDefault="003B527D" w:rsidP="00FB47E4"/>
    <w:p w14:paraId="24C7B01A" w14:textId="7AF07077" w:rsidR="00A044E0" w:rsidRDefault="00A044E0" w:rsidP="00FB47E4"/>
    <w:p w14:paraId="05F92678" w14:textId="645537A6" w:rsidR="00A044E0" w:rsidRDefault="00A044E0" w:rsidP="00FB47E4"/>
    <w:p w14:paraId="5EC9553F" w14:textId="77777777" w:rsidR="00A044E0" w:rsidRDefault="00A044E0" w:rsidP="00FB47E4"/>
    <w:p w14:paraId="3CA1B886" w14:textId="5A478EED" w:rsidR="00926B08" w:rsidRDefault="006A6AED" w:rsidP="00FB47E4">
      <w:r>
        <w:t>GSN（Goal Structuring Notation）は、論証構造を視覚的に示す手法であり、</w:t>
      </w:r>
      <w:r>
        <w:rPr>
          <w:rFonts w:hint="eastAsia"/>
        </w:rPr>
        <w:t>要求</w:t>
      </w:r>
      <w:r>
        <w:t>（Goal）から証拠（Evidence）までの論理的なつながりを明確に説明</w:t>
      </w:r>
      <w:r>
        <w:rPr>
          <w:rFonts w:hint="eastAsia"/>
        </w:rPr>
        <w:t>するものである</w:t>
      </w:r>
      <w:r>
        <w:t>。</w:t>
      </w:r>
    </w:p>
    <w:p w14:paraId="507D4220" w14:textId="77777777" w:rsidR="00DB39BA" w:rsidRDefault="00DB39BA" w:rsidP="00FB47E4"/>
    <w:p w14:paraId="3603DA3F" w14:textId="34096AE7" w:rsidR="00DB39BA" w:rsidRDefault="00DB39BA" w:rsidP="00FB47E4">
      <w:r>
        <w:rPr>
          <w:rFonts w:hint="eastAsia"/>
        </w:rPr>
        <w:t>（２）T</w:t>
      </w:r>
      <w:r>
        <w:t>DK</w:t>
      </w:r>
      <w:r>
        <w:rPr>
          <w:rFonts w:hint="eastAsia"/>
        </w:rPr>
        <w:t>機能安全規程</w:t>
      </w:r>
    </w:p>
    <w:p w14:paraId="56BB81D8" w14:textId="5085DD31" w:rsidR="00DB39BA" w:rsidRDefault="00DB39BA" w:rsidP="00DB39BA">
      <w:r>
        <w:rPr>
          <w:rFonts w:hint="eastAsia"/>
        </w:rPr>
        <w:t>T</w:t>
      </w:r>
      <w:r>
        <w:t>DK</w:t>
      </w:r>
      <w:r>
        <w:rPr>
          <w:rFonts w:hint="eastAsia"/>
        </w:rPr>
        <w:t>機能安全規程「</w:t>
      </w:r>
      <w:proofErr w:type="spellStart"/>
      <w:r w:rsidRPr="00623203">
        <w:t>Functional_safety_development_manual</w:t>
      </w:r>
      <w:proofErr w:type="spellEnd"/>
      <w:r>
        <w:rPr>
          <w:rFonts w:hint="eastAsia"/>
        </w:rPr>
        <w:t>（</w:t>
      </w:r>
      <w:r w:rsidRPr="00623203">
        <w:t>FS-0001</w:t>
      </w:r>
      <w:r>
        <w:rPr>
          <w:rFonts w:hint="eastAsia"/>
        </w:rPr>
        <w:t>）」の「</w:t>
      </w:r>
      <w:r w:rsidRPr="00E079BD">
        <w:t>2.2.5セーフティケース</w:t>
      </w:r>
      <w:r>
        <w:rPr>
          <w:rFonts w:hint="eastAsia"/>
        </w:rPr>
        <w:t>」１）に基づいている。</w:t>
      </w:r>
    </w:p>
    <w:p w14:paraId="72710C8A" w14:textId="77777777" w:rsidR="00DB39BA" w:rsidRDefault="00DB39BA" w:rsidP="00DB39BA"/>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
        <w:gridCol w:w="1284"/>
        <w:gridCol w:w="3765"/>
        <w:gridCol w:w="1393"/>
        <w:gridCol w:w="933"/>
        <w:gridCol w:w="715"/>
      </w:tblGrid>
      <w:tr w:rsidR="00DB39BA" w:rsidRPr="0079643E" w14:paraId="72276028" w14:textId="77777777" w:rsidTr="00673D30">
        <w:trPr>
          <w:tblHeader/>
          <w:tblCellSpacing w:w="15" w:type="dxa"/>
        </w:trPr>
        <w:tc>
          <w:tcPr>
            <w:tcW w:w="0" w:type="auto"/>
            <w:vAlign w:val="center"/>
            <w:hideMark/>
          </w:tcPr>
          <w:p w14:paraId="75FAF880" w14:textId="77777777" w:rsidR="00DB39BA" w:rsidRPr="0079643E" w:rsidRDefault="00DB39BA" w:rsidP="00673D30">
            <w:pPr>
              <w:rPr>
                <w:b/>
                <w:bCs/>
              </w:rPr>
            </w:pPr>
            <w:r w:rsidRPr="0079643E">
              <w:rPr>
                <w:b/>
                <w:bCs/>
              </w:rPr>
              <w:t>No.</w:t>
            </w:r>
          </w:p>
        </w:tc>
        <w:tc>
          <w:tcPr>
            <w:tcW w:w="0" w:type="auto"/>
            <w:vAlign w:val="center"/>
            <w:hideMark/>
          </w:tcPr>
          <w:p w14:paraId="381C35C5" w14:textId="77777777" w:rsidR="00DB39BA" w:rsidRPr="0079643E" w:rsidRDefault="00DB39BA" w:rsidP="00673D30">
            <w:pPr>
              <w:rPr>
                <w:b/>
                <w:bCs/>
              </w:rPr>
            </w:pPr>
            <w:r w:rsidRPr="0079643E">
              <w:rPr>
                <w:b/>
                <w:bCs/>
              </w:rPr>
              <w:t>Document / 文書名</w:t>
            </w:r>
          </w:p>
        </w:tc>
        <w:tc>
          <w:tcPr>
            <w:tcW w:w="0" w:type="auto"/>
            <w:vAlign w:val="center"/>
          </w:tcPr>
          <w:p w14:paraId="2D47965E" w14:textId="77777777" w:rsidR="00DB39BA" w:rsidRPr="0079643E" w:rsidRDefault="00DB39BA" w:rsidP="00673D30">
            <w:pPr>
              <w:rPr>
                <w:b/>
                <w:bCs/>
              </w:rPr>
            </w:pPr>
            <w:r>
              <w:rPr>
                <w:b/>
                <w:bCs/>
              </w:rPr>
              <w:t>File name</w:t>
            </w:r>
            <w:r w:rsidRPr="0079643E">
              <w:rPr>
                <w:b/>
                <w:bCs/>
              </w:rPr>
              <w:t xml:space="preserve">/ </w:t>
            </w:r>
            <w:r>
              <w:rPr>
                <w:rFonts w:hint="eastAsia"/>
                <w:b/>
                <w:bCs/>
              </w:rPr>
              <w:t>ファイル名</w:t>
            </w:r>
          </w:p>
        </w:tc>
        <w:tc>
          <w:tcPr>
            <w:tcW w:w="0" w:type="auto"/>
            <w:vAlign w:val="center"/>
          </w:tcPr>
          <w:p w14:paraId="2E6058C9" w14:textId="77777777" w:rsidR="00DB39BA" w:rsidRPr="0079643E" w:rsidRDefault="00DB39BA" w:rsidP="00673D30">
            <w:pPr>
              <w:rPr>
                <w:b/>
                <w:bCs/>
              </w:rPr>
            </w:pPr>
            <w:r w:rsidRPr="0079643E">
              <w:rPr>
                <w:b/>
                <w:bCs/>
              </w:rPr>
              <w:t>Document ID / 文書ID</w:t>
            </w:r>
          </w:p>
        </w:tc>
        <w:tc>
          <w:tcPr>
            <w:tcW w:w="0" w:type="auto"/>
            <w:vAlign w:val="center"/>
            <w:hideMark/>
          </w:tcPr>
          <w:p w14:paraId="413AD92E" w14:textId="77777777" w:rsidR="00DB39BA" w:rsidRPr="0079643E" w:rsidRDefault="00DB39BA" w:rsidP="00673D30">
            <w:pPr>
              <w:rPr>
                <w:b/>
                <w:bCs/>
              </w:rPr>
            </w:pPr>
            <w:r w:rsidRPr="0079643E">
              <w:rPr>
                <w:b/>
                <w:bCs/>
              </w:rPr>
              <w:t>備考 / 特記事項</w:t>
            </w:r>
          </w:p>
        </w:tc>
        <w:tc>
          <w:tcPr>
            <w:tcW w:w="0" w:type="auto"/>
            <w:vAlign w:val="center"/>
            <w:hideMark/>
          </w:tcPr>
          <w:p w14:paraId="09AAA277" w14:textId="77777777" w:rsidR="00DB39BA" w:rsidRPr="0079643E" w:rsidRDefault="00DB39BA" w:rsidP="00673D30">
            <w:pPr>
              <w:rPr>
                <w:b/>
                <w:bCs/>
              </w:rPr>
            </w:pPr>
            <w:r w:rsidRPr="0079643E">
              <w:rPr>
                <w:b/>
                <w:bCs/>
              </w:rPr>
              <w:t>保管場所 / 格納先</w:t>
            </w:r>
          </w:p>
        </w:tc>
      </w:tr>
      <w:tr w:rsidR="00DB39BA" w:rsidRPr="0079643E" w14:paraId="44AFE11C" w14:textId="77777777" w:rsidTr="00673D30">
        <w:trPr>
          <w:tblCellSpacing w:w="15" w:type="dxa"/>
        </w:trPr>
        <w:tc>
          <w:tcPr>
            <w:tcW w:w="0" w:type="auto"/>
            <w:vAlign w:val="center"/>
            <w:hideMark/>
          </w:tcPr>
          <w:p w14:paraId="6BA0CFD2" w14:textId="77777777" w:rsidR="00DB39BA" w:rsidRPr="0079643E" w:rsidRDefault="00DB39BA" w:rsidP="00673D30">
            <w:r w:rsidRPr="0079643E">
              <w:t>1</w:t>
            </w:r>
          </w:p>
        </w:tc>
        <w:tc>
          <w:tcPr>
            <w:tcW w:w="0" w:type="auto"/>
            <w:vAlign w:val="center"/>
          </w:tcPr>
          <w:p w14:paraId="13519DB5" w14:textId="77777777" w:rsidR="00DB39BA" w:rsidRPr="0079643E" w:rsidRDefault="00DB39BA" w:rsidP="00673D30">
            <w:r w:rsidRPr="00623203">
              <w:rPr>
                <w:rFonts w:hint="eastAsia"/>
              </w:rPr>
              <w:t>機能安全基準</w:t>
            </w:r>
          </w:p>
        </w:tc>
        <w:tc>
          <w:tcPr>
            <w:tcW w:w="0" w:type="auto"/>
            <w:vAlign w:val="center"/>
          </w:tcPr>
          <w:p w14:paraId="3D1BEA51" w14:textId="77777777" w:rsidR="00DB39BA" w:rsidRPr="0078527A" w:rsidRDefault="00DB39BA" w:rsidP="00673D30">
            <w:proofErr w:type="spellStart"/>
            <w:r w:rsidRPr="0078527A">
              <w:t>Functional_safety_development_manual</w:t>
            </w:r>
            <w:proofErr w:type="spellEnd"/>
          </w:p>
        </w:tc>
        <w:tc>
          <w:tcPr>
            <w:tcW w:w="0" w:type="auto"/>
            <w:vAlign w:val="center"/>
            <w:hideMark/>
          </w:tcPr>
          <w:p w14:paraId="72F8FCCA" w14:textId="77777777" w:rsidR="00DB39BA" w:rsidRPr="0079643E" w:rsidRDefault="00DB39BA" w:rsidP="00673D30">
            <w:r w:rsidRPr="0078527A">
              <w:t>FS-0001</w:t>
            </w:r>
          </w:p>
        </w:tc>
        <w:tc>
          <w:tcPr>
            <w:tcW w:w="0" w:type="auto"/>
            <w:vAlign w:val="center"/>
            <w:hideMark/>
          </w:tcPr>
          <w:p w14:paraId="5506C9A4" w14:textId="77777777" w:rsidR="00DB39BA" w:rsidRPr="0079643E" w:rsidRDefault="00DB39BA" w:rsidP="00673D30">
            <w:r>
              <w:rPr>
                <w:rFonts w:hint="eastAsia"/>
              </w:rPr>
              <w:t>2</w:t>
            </w:r>
            <w:r>
              <w:t>.2.5</w:t>
            </w:r>
            <w:r>
              <w:rPr>
                <w:rFonts w:hint="eastAsia"/>
              </w:rPr>
              <w:t>セフティケース</w:t>
            </w:r>
          </w:p>
        </w:tc>
        <w:tc>
          <w:tcPr>
            <w:tcW w:w="0" w:type="auto"/>
            <w:vAlign w:val="center"/>
            <w:hideMark/>
          </w:tcPr>
          <w:p w14:paraId="007286F4" w14:textId="77777777" w:rsidR="00DB39BA" w:rsidRPr="0079643E" w:rsidRDefault="00DB39BA" w:rsidP="00673D30">
            <w:pPr>
              <w:jc w:val="center"/>
            </w:pPr>
            <w:hyperlink r:id="rId8" w:history="1">
              <w:r w:rsidRPr="006E7B07">
                <w:rPr>
                  <w:rStyle w:val="a8"/>
                </w:rPr>
                <w:t>◆</w:t>
              </w:r>
            </w:hyperlink>
          </w:p>
        </w:tc>
      </w:tr>
    </w:tbl>
    <w:p w14:paraId="2A5BB7EE" w14:textId="77777777" w:rsidR="00DB39BA" w:rsidRDefault="00DB39BA" w:rsidP="00DB39BA"/>
    <w:p w14:paraId="601100FB" w14:textId="77777777" w:rsidR="00DB39BA" w:rsidRDefault="00DB39BA">
      <w:pPr>
        <w:widowControl/>
        <w:jc w:val="left"/>
      </w:pPr>
      <w:r>
        <w:br w:type="page"/>
      </w:r>
    </w:p>
    <w:p w14:paraId="1BABF2B7" w14:textId="0299C46B" w:rsidR="00DB39BA" w:rsidRDefault="00DB39BA" w:rsidP="00DB39BA">
      <w:r w:rsidRPr="00E079BD">
        <w:rPr>
          <w:noProof/>
        </w:rPr>
        <w:lastRenderedPageBreak/>
        <w:drawing>
          <wp:anchor distT="0" distB="0" distL="114300" distR="114300" simplePos="0" relativeHeight="251659264" behindDoc="0" locked="0" layoutInCell="1" allowOverlap="1" wp14:anchorId="608D8F41" wp14:editId="31BDAD12">
            <wp:simplePos x="0" y="0"/>
            <wp:positionH relativeFrom="margin">
              <wp:align>right</wp:align>
            </wp:positionH>
            <wp:positionV relativeFrom="paragraph">
              <wp:posOffset>3810</wp:posOffset>
            </wp:positionV>
            <wp:extent cx="5372835" cy="2006600"/>
            <wp:effectExtent l="0" t="0" r="0" b="0"/>
            <wp:wrapNone/>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83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B145F" w14:textId="77777777" w:rsidR="00DB39BA" w:rsidRDefault="00DB39BA" w:rsidP="00DB39BA"/>
    <w:p w14:paraId="28995BB4" w14:textId="77777777" w:rsidR="00DB39BA" w:rsidRDefault="00DB39BA" w:rsidP="00DB39BA"/>
    <w:p w14:paraId="1E5FBE0B" w14:textId="77777777" w:rsidR="00DB39BA" w:rsidRDefault="00DB39BA" w:rsidP="00DB39BA"/>
    <w:p w14:paraId="5A0A6192" w14:textId="77777777" w:rsidR="00DB39BA" w:rsidRDefault="00DB39BA" w:rsidP="00DB39BA"/>
    <w:p w14:paraId="5B4DF302" w14:textId="77777777" w:rsidR="00DB39BA" w:rsidRDefault="00DB39BA" w:rsidP="00DB39BA"/>
    <w:p w14:paraId="58706CD1" w14:textId="77777777" w:rsidR="00DB39BA" w:rsidRDefault="00DB39BA" w:rsidP="00DB39BA"/>
    <w:p w14:paraId="51E955CE" w14:textId="77777777" w:rsidR="00FB47E4" w:rsidRDefault="00FB47E4" w:rsidP="00FB47E4"/>
    <w:p w14:paraId="5ABC7995" w14:textId="77777777" w:rsidR="00FB47E4" w:rsidRPr="008C064A" w:rsidRDefault="00FB47E4" w:rsidP="00FB47E4">
      <w:pPr>
        <w:rPr>
          <w:b/>
          <w:bCs/>
        </w:rPr>
      </w:pPr>
      <w:r w:rsidRPr="008C064A">
        <w:rPr>
          <w:b/>
          <w:bCs/>
        </w:rPr>
        <w:t>2. 目的</w:t>
      </w:r>
    </w:p>
    <w:p w14:paraId="0B912691" w14:textId="7787BF29" w:rsidR="00FB47E4" w:rsidRDefault="00DB39BA" w:rsidP="00826F0E">
      <w:pPr>
        <w:ind w:firstLineChars="100" w:firstLine="210"/>
      </w:pPr>
      <w:r>
        <w:rPr>
          <w:rFonts w:hint="eastAsia"/>
        </w:rPr>
        <w:t>目的は</w:t>
      </w:r>
      <w:r w:rsidR="00FB47E4">
        <w:t>GSNを活用し、機能安全の論証を体系的かつ効果的に構築することで、製品の機能安全に対する確実な説明を行い、監査や客先への説明においても信頼性の高い安全性の証明を提供することで</w:t>
      </w:r>
      <w:r w:rsidR="008554B1">
        <w:rPr>
          <w:rFonts w:hint="eastAsia"/>
        </w:rPr>
        <w:t>ある</w:t>
      </w:r>
      <w:r w:rsidR="00FB47E4">
        <w:t>。これにより、製品の市場信頼性を向上させることを目指す。</w:t>
      </w:r>
    </w:p>
    <w:p w14:paraId="1C635138" w14:textId="77777777" w:rsidR="00FB47E4" w:rsidRDefault="00FB47E4" w:rsidP="00FB47E4"/>
    <w:p w14:paraId="2E99B786" w14:textId="1B31EE32" w:rsidR="00335EE6" w:rsidRDefault="00335EE6" w:rsidP="00335EE6">
      <w:r>
        <w:rPr>
          <w:rFonts w:hint="eastAsia"/>
        </w:rPr>
        <w:t>・</w:t>
      </w:r>
      <w:r>
        <w:t>GSNの導入による機能安全論証の強化</w:t>
      </w:r>
    </w:p>
    <w:p w14:paraId="5A2260AD" w14:textId="3B0B25D2" w:rsidR="00335EE6" w:rsidRDefault="00335EE6" w:rsidP="00335EE6">
      <w:r>
        <w:rPr>
          <w:rFonts w:hint="eastAsia"/>
        </w:rPr>
        <w:t>・</w:t>
      </w:r>
      <w:r>
        <w:t>ISO 26262に準拠した安全論証の体系化</w:t>
      </w:r>
    </w:p>
    <w:p w14:paraId="73E3B43F" w14:textId="6C06DF67" w:rsidR="00335EE6" w:rsidRDefault="00335EE6" w:rsidP="00335EE6">
      <w:r>
        <w:rPr>
          <w:rFonts w:hint="eastAsia"/>
        </w:rPr>
        <w:t>・論証の効率化と標準化</w:t>
      </w:r>
    </w:p>
    <w:p w14:paraId="0186C835" w14:textId="093CEF43" w:rsidR="00335EE6" w:rsidRDefault="00335EE6" w:rsidP="00335EE6">
      <w:r>
        <w:rPr>
          <w:rFonts w:hint="eastAsia"/>
        </w:rPr>
        <w:t>・監査・客先説明時における論証の透明性・信頼性向上</w:t>
      </w:r>
    </w:p>
    <w:p w14:paraId="2ABB3B59" w14:textId="2BC79C5F" w:rsidR="00335EE6" w:rsidRDefault="00335EE6" w:rsidP="00335EE6">
      <w:r>
        <w:rPr>
          <w:rFonts w:hint="eastAsia"/>
        </w:rPr>
        <w:t>・セーフティーケースのフレームワーク作成</w:t>
      </w:r>
      <w:r w:rsidR="00FF5B73">
        <w:rPr>
          <w:rFonts w:hint="eastAsia"/>
        </w:rPr>
        <w:t>・標準化</w:t>
      </w:r>
    </w:p>
    <w:p w14:paraId="24C23E3A" w14:textId="23C6A3EF" w:rsidR="00335EE6" w:rsidRDefault="00335EE6" w:rsidP="00335EE6">
      <w:r>
        <w:rPr>
          <w:rFonts w:hint="eastAsia"/>
        </w:rPr>
        <w:t>・安全性を証明する</w:t>
      </w:r>
      <w:r w:rsidR="00FF5B73">
        <w:t>機能安全論証</w:t>
      </w:r>
      <w:r w:rsidR="00FF5B73">
        <w:rPr>
          <w:rFonts w:hint="eastAsia"/>
        </w:rPr>
        <w:t>の</w:t>
      </w:r>
      <w:r>
        <w:rPr>
          <w:rFonts w:hint="eastAsia"/>
        </w:rPr>
        <w:t>ドキュメント化</w:t>
      </w:r>
    </w:p>
    <w:p w14:paraId="66EDDD1C" w14:textId="1400A774" w:rsidR="002D271B" w:rsidRPr="00335EE6" w:rsidRDefault="002D271B" w:rsidP="00335EE6">
      <w:r>
        <w:rPr>
          <w:rFonts w:hint="eastAsia"/>
        </w:rPr>
        <w:t>・次世代アセッサーへの齟齬無き論証内容の引継ぎ</w:t>
      </w:r>
    </w:p>
    <w:p w14:paraId="25020ECB" w14:textId="77777777" w:rsidR="00335EE6" w:rsidRDefault="00335EE6" w:rsidP="00FB47E4"/>
    <w:p w14:paraId="5A814F8F" w14:textId="57E7C479" w:rsidR="00FB47E4" w:rsidRPr="008C064A" w:rsidRDefault="00FB47E4" w:rsidP="00FB47E4">
      <w:pPr>
        <w:rPr>
          <w:b/>
          <w:bCs/>
        </w:rPr>
      </w:pPr>
      <w:r w:rsidRPr="008C064A">
        <w:rPr>
          <w:b/>
          <w:bCs/>
        </w:rPr>
        <w:t xml:space="preserve">3. </w:t>
      </w:r>
      <w:r w:rsidR="00F55E6A">
        <w:rPr>
          <w:rFonts w:hint="eastAsia"/>
          <w:b/>
          <w:bCs/>
        </w:rPr>
        <w:t>範囲と</w:t>
      </w:r>
      <w:r w:rsidRPr="008C064A">
        <w:rPr>
          <w:b/>
          <w:bCs/>
        </w:rPr>
        <w:t>目標（ゴール）</w:t>
      </w:r>
    </w:p>
    <w:p w14:paraId="2DD5F459" w14:textId="30F7FCC6" w:rsidR="00FB47E4" w:rsidRDefault="00FB47E4" w:rsidP="00826F0E">
      <w:pPr>
        <w:ind w:firstLineChars="100" w:firstLine="210"/>
      </w:pPr>
      <w:r>
        <w:t>機能安全論証の効率化および標準化を図り、</w:t>
      </w:r>
      <w:r w:rsidR="00277ABC" w:rsidRPr="00F55E6A">
        <w:rPr>
          <w:rFonts w:hint="eastAsia"/>
          <w:b/>
          <w:bCs/>
        </w:rPr>
        <w:t>非</w:t>
      </w:r>
      <w:r w:rsidR="00982F4B" w:rsidRPr="00F55E6A">
        <w:rPr>
          <w:rFonts w:hint="eastAsia"/>
          <w:b/>
          <w:bCs/>
        </w:rPr>
        <w:t>プロジェクト依存</w:t>
      </w:r>
      <w:r w:rsidR="0098514C">
        <w:rPr>
          <w:rFonts w:hint="eastAsia"/>
        </w:rPr>
        <w:t>の部分に関しての</w:t>
      </w:r>
      <w:r>
        <w:t>GSNによる</w:t>
      </w:r>
      <w:r w:rsidR="00826F0E">
        <w:rPr>
          <w:rFonts w:hint="eastAsia"/>
        </w:rPr>
        <w:t>「</w:t>
      </w:r>
      <w:r w:rsidR="00826F0E">
        <w:t>GSN安全論証フレームワーク</w:t>
      </w:r>
      <w:r w:rsidR="00826F0E">
        <w:rPr>
          <w:rFonts w:hint="eastAsia"/>
        </w:rPr>
        <w:t>」</w:t>
      </w:r>
      <w:r w:rsidR="00826F0E">
        <w:t>の設計</w:t>
      </w:r>
      <w:r w:rsidR="003E053A">
        <w:rPr>
          <w:rFonts w:hint="eastAsia"/>
        </w:rPr>
        <w:t>と</w:t>
      </w:r>
      <w:r w:rsidR="00826F0E" w:rsidRPr="00826F0E">
        <w:rPr>
          <w:rFonts w:hint="eastAsia"/>
        </w:rPr>
        <w:t>「</w:t>
      </w:r>
      <w:r w:rsidR="00826F0E" w:rsidRPr="00826F0E">
        <w:t>GSNによる機能安全論証モデル」</w:t>
      </w:r>
      <w:r w:rsidR="00826F0E" w:rsidRPr="00826F0E">
        <w:rPr>
          <w:rFonts w:hint="eastAsia"/>
        </w:rPr>
        <w:t>の作成</w:t>
      </w:r>
      <w:r>
        <w:t>を</w:t>
      </w:r>
      <w:r w:rsidR="007733DC">
        <w:rPr>
          <w:rFonts w:hint="eastAsia"/>
        </w:rPr>
        <w:t>ゴール</w:t>
      </w:r>
      <w:r w:rsidR="00E7587D">
        <w:rPr>
          <w:rFonts w:hint="eastAsia"/>
        </w:rPr>
        <w:t>と</w:t>
      </w:r>
      <w:r>
        <w:t>する。</w:t>
      </w:r>
    </w:p>
    <w:p w14:paraId="5D041E71" w14:textId="77777777" w:rsidR="00335EE6" w:rsidRDefault="00335EE6" w:rsidP="00FB47E4"/>
    <w:p w14:paraId="49C4414B" w14:textId="3C9FA1C4" w:rsidR="00335EE6" w:rsidRDefault="00826F0E" w:rsidP="00335EE6">
      <w:r>
        <w:rPr>
          <w:rFonts w:hint="eastAsia"/>
        </w:rPr>
        <w:t>（１）</w:t>
      </w:r>
      <w:r w:rsidR="00335EE6">
        <w:rPr>
          <w:rFonts w:hint="eastAsia"/>
        </w:rPr>
        <w:t>「</w:t>
      </w:r>
      <w:r w:rsidR="00335EE6">
        <w:t>GSN安全論証フレームワーク</w:t>
      </w:r>
      <w:r w:rsidR="00335EE6">
        <w:rPr>
          <w:rFonts w:hint="eastAsia"/>
        </w:rPr>
        <w:t>」</w:t>
      </w:r>
      <w:r w:rsidR="00335EE6">
        <w:t>の設計</w:t>
      </w:r>
    </w:p>
    <w:p w14:paraId="0909AA6C" w14:textId="05044EC8" w:rsidR="00335EE6" w:rsidRDefault="00C70418" w:rsidP="00335EE6">
      <w:r>
        <w:rPr>
          <w:rFonts w:hint="eastAsia"/>
        </w:rPr>
        <w:t>・</w:t>
      </w:r>
      <w:r w:rsidR="00335EE6">
        <w:rPr>
          <w:rFonts w:hint="eastAsia"/>
        </w:rPr>
        <w:t>プロジェクトに依存しない部分の標準化</w:t>
      </w:r>
    </w:p>
    <w:p w14:paraId="3131A85E" w14:textId="0CFED873" w:rsidR="00335EE6" w:rsidRDefault="00C70418" w:rsidP="00335EE6">
      <w:r>
        <w:rPr>
          <w:rFonts w:hint="eastAsia"/>
        </w:rPr>
        <w:t>・</w:t>
      </w:r>
      <w:r w:rsidR="00335EE6">
        <w:rPr>
          <w:rFonts w:hint="eastAsia"/>
        </w:rPr>
        <w:t>論証モデルの構築および設計図</w:t>
      </w:r>
      <w:r w:rsidR="00826F0E" w:rsidRPr="00277ABC">
        <w:rPr>
          <w:rFonts w:hint="eastAsia"/>
          <w:b/>
          <w:bCs/>
        </w:rPr>
        <w:t>「</w:t>
      </w:r>
      <w:r w:rsidR="00826F0E" w:rsidRPr="00C03E1D">
        <w:rPr>
          <w:b/>
          <w:bCs/>
        </w:rPr>
        <w:t>GSN安全論証フレームワーク設計図」</w:t>
      </w:r>
      <w:r w:rsidR="00335EE6">
        <w:rPr>
          <w:rFonts w:hint="eastAsia"/>
        </w:rPr>
        <w:t>作成</w:t>
      </w:r>
    </w:p>
    <w:p w14:paraId="0C3CC32B" w14:textId="2794C532" w:rsidR="00C70418" w:rsidRDefault="00C70418" w:rsidP="00335EE6">
      <w:hyperlink r:id="rId10" w:history="1">
        <w:r w:rsidRPr="00C70418">
          <w:rPr>
            <w:rStyle w:val="a8"/>
          </w:rPr>
          <w:t>GSN安全論証図面１.xlsx</w:t>
        </w:r>
      </w:hyperlink>
    </w:p>
    <w:p w14:paraId="26E07E37" w14:textId="77777777" w:rsidR="00C70418" w:rsidRDefault="00C70418" w:rsidP="00335EE6"/>
    <w:p w14:paraId="5155D440" w14:textId="7A4CA039" w:rsidR="00335EE6" w:rsidRDefault="00826F0E" w:rsidP="00335EE6">
      <w:r>
        <w:rPr>
          <w:rFonts w:hint="eastAsia"/>
        </w:rPr>
        <w:t>（２）</w:t>
      </w:r>
      <w:r w:rsidRPr="00826F0E">
        <w:rPr>
          <w:rFonts w:hint="eastAsia"/>
        </w:rPr>
        <w:t>「</w:t>
      </w:r>
      <w:r w:rsidRPr="00826F0E">
        <w:t>GSNによる機能安全論証モデル」の作成</w:t>
      </w:r>
    </w:p>
    <w:p w14:paraId="2D0AD226" w14:textId="27C2792A" w:rsidR="006A5635" w:rsidRDefault="00C70418" w:rsidP="00335EE6">
      <w:r>
        <w:rPr>
          <w:rFonts w:hint="eastAsia"/>
        </w:rPr>
        <w:t>・</w:t>
      </w:r>
      <w:r w:rsidR="00335EE6">
        <w:t>GSNを活用したセーフティーケースの基本雛形</w:t>
      </w:r>
      <w:r w:rsidR="00826F0E" w:rsidRPr="00826F0E">
        <w:rPr>
          <w:rFonts w:ascii="ＭＳ Ｐゴシック" w:eastAsia="ＭＳ Ｐゴシック" w:hAnsi="ＭＳ Ｐゴシック" w:cs="ＭＳ Ｐゴシック" w:hint="eastAsia"/>
          <w:kern w:val="0"/>
          <w:sz w:val="22"/>
        </w:rPr>
        <w:t>「GSNによる機能安全論証モデル」</w:t>
      </w:r>
      <w:r w:rsidR="00335EE6">
        <w:t>を整備し、再利用可能な形で提供</w:t>
      </w:r>
    </w:p>
    <w:p w14:paraId="17230F92" w14:textId="4802FE31" w:rsidR="00277ABC" w:rsidRDefault="00B349A2" w:rsidP="00DB39BA">
      <w:pPr>
        <w:rPr>
          <w:rStyle w:val="a8"/>
        </w:rPr>
      </w:pPr>
      <w:hyperlink r:id="rId11" w:history="1">
        <w:r>
          <w:rPr>
            <w:rStyle w:val="a8"/>
          </w:rPr>
          <w:t>GSNによる機能安全論証モデル.docx</w:t>
        </w:r>
      </w:hyperlink>
    </w:p>
    <w:p w14:paraId="55EE77C7" w14:textId="77777777" w:rsidR="00B349A2" w:rsidRPr="00DB39BA" w:rsidRDefault="00B349A2" w:rsidP="00DB39BA"/>
    <w:p w14:paraId="7824001B" w14:textId="7C6DB0C2" w:rsidR="00FB47E4" w:rsidRPr="008C064A" w:rsidRDefault="00FB47E4" w:rsidP="00FB47E4">
      <w:pPr>
        <w:rPr>
          <w:b/>
          <w:bCs/>
        </w:rPr>
      </w:pPr>
      <w:r w:rsidRPr="008C064A">
        <w:rPr>
          <w:b/>
          <w:bCs/>
        </w:rPr>
        <w:lastRenderedPageBreak/>
        <w:t>4. 活動内容</w:t>
      </w:r>
    </w:p>
    <w:tbl>
      <w:tblPr>
        <w:tblW w:w="8494" w:type="dxa"/>
        <w:tblCellMar>
          <w:left w:w="99" w:type="dxa"/>
          <w:right w:w="99" w:type="dxa"/>
        </w:tblCellMar>
        <w:tblLook w:val="04A0" w:firstRow="1" w:lastRow="0" w:firstColumn="1" w:lastColumn="0" w:noHBand="0" w:noVBand="1"/>
      </w:tblPr>
      <w:tblGrid>
        <w:gridCol w:w="2272"/>
        <w:gridCol w:w="5378"/>
        <w:gridCol w:w="844"/>
      </w:tblGrid>
      <w:tr w:rsidR="00D22E87" w:rsidRPr="00D8690C" w14:paraId="17D43685" w14:textId="54E17AD6" w:rsidTr="00D22E87">
        <w:trPr>
          <w:trHeight w:val="360"/>
        </w:trPr>
        <w:tc>
          <w:tcPr>
            <w:tcW w:w="2272"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5F28457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イベント（フェーズ）</w:t>
            </w:r>
          </w:p>
        </w:tc>
        <w:tc>
          <w:tcPr>
            <w:tcW w:w="5378" w:type="dxa"/>
            <w:tcBorders>
              <w:top w:val="single" w:sz="4" w:space="0" w:color="auto"/>
              <w:left w:val="nil"/>
              <w:bottom w:val="single" w:sz="4" w:space="0" w:color="auto"/>
              <w:right w:val="single" w:sz="4" w:space="0" w:color="auto"/>
            </w:tcBorders>
            <w:shd w:val="clear" w:color="000000" w:fill="BDD7EE"/>
            <w:vAlign w:val="center"/>
            <w:hideMark/>
          </w:tcPr>
          <w:p w14:paraId="26FECB91"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タスク</w:t>
            </w:r>
          </w:p>
        </w:tc>
        <w:tc>
          <w:tcPr>
            <w:tcW w:w="844" w:type="dxa"/>
            <w:tcBorders>
              <w:top w:val="single" w:sz="4" w:space="0" w:color="auto"/>
              <w:left w:val="nil"/>
              <w:bottom w:val="single" w:sz="4" w:space="0" w:color="auto"/>
              <w:right w:val="single" w:sz="4" w:space="0" w:color="auto"/>
            </w:tcBorders>
            <w:shd w:val="clear" w:color="000000" w:fill="BDD7EE"/>
          </w:tcPr>
          <w:p w14:paraId="69324213" w14:textId="434DFD13"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スケジュール</w:t>
            </w:r>
          </w:p>
        </w:tc>
      </w:tr>
      <w:tr w:rsidR="00D22E87" w:rsidRPr="00D8690C" w14:paraId="3800BEB5" w14:textId="481DC70B"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433C52AD"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1. 事前調査と準備</w:t>
            </w:r>
          </w:p>
        </w:tc>
        <w:tc>
          <w:tcPr>
            <w:tcW w:w="5378" w:type="dxa"/>
            <w:tcBorders>
              <w:top w:val="nil"/>
              <w:left w:val="nil"/>
              <w:bottom w:val="single" w:sz="4" w:space="0" w:color="auto"/>
              <w:right w:val="single" w:sz="4" w:space="0" w:color="auto"/>
            </w:tcBorders>
            <w:shd w:val="clear" w:color="auto" w:fill="auto"/>
            <w:vAlign w:val="center"/>
            <w:hideMark/>
          </w:tcPr>
          <w:p w14:paraId="7C3C7FD3"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844" w:type="dxa"/>
            <w:tcBorders>
              <w:top w:val="nil"/>
              <w:left w:val="nil"/>
              <w:bottom w:val="single" w:sz="4" w:space="0" w:color="auto"/>
              <w:right w:val="single" w:sz="4" w:space="0" w:color="auto"/>
            </w:tcBorders>
          </w:tcPr>
          <w:p w14:paraId="3969B94D" w14:textId="074D2862"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１０月</w:t>
            </w:r>
          </w:p>
        </w:tc>
      </w:tr>
      <w:tr w:rsidR="00D22E87" w:rsidRPr="00D8690C" w14:paraId="133362CC" w14:textId="27F6A3AE"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44BAAA32"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48201E33"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GSN導入の計画立案</w:t>
            </w:r>
          </w:p>
        </w:tc>
        <w:tc>
          <w:tcPr>
            <w:tcW w:w="844" w:type="dxa"/>
            <w:tcBorders>
              <w:top w:val="nil"/>
              <w:left w:val="nil"/>
              <w:bottom w:val="single" w:sz="4" w:space="0" w:color="auto"/>
              <w:right w:val="single" w:sz="4" w:space="0" w:color="auto"/>
            </w:tcBorders>
          </w:tcPr>
          <w:p w14:paraId="3BF2027C"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54AFFDBD" w14:textId="4E561255"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25A65F63" w14:textId="77777777" w:rsidR="00D22E87" w:rsidRPr="00D8690C" w:rsidRDefault="00D22E87" w:rsidP="00C57F81">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7AA630ED" w14:textId="77777777" w:rsidR="00D22E87" w:rsidRPr="00D8690C" w:rsidRDefault="00D22E87" w:rsidP="00C57F81">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GSNとISO26262Part10の理解</w:t>
            </w:r>
          </w:p>
        </w:tc>
        <w:tc>
          <w:tcPr>
            <w:tcW w:w="844" w:type="dxa"/>
            <w:tcBorders>
              <w:top w:val="nil"/>
              <w:left w:val="nil"/>
              <w:bottom w:val="single" w:sz="4" w:space="0" w:color="auto"/>
              <w:right w:val="single" w:sz="4" w:space="0" w:color="auto"/>
            </w:tcBorders>
          </w:tcPr>
          <w:p w14:paraId="570A2510" w14:textId="77777777" w:rsidR="00D22E87" w:rsidRPr="00D8690C" w:rsidRDefault="00D22E87" w:rsidP="00C57F81">
            <w:pPr>
              <w:widowControl/>
              <w:jc w:val="left"/>
              <w:rPr>
                <w:rFonts w:ascii="ＭＳ Ｐゴシック" w:eastAsia="ＭＳ Ｐゴシック" w:hAnsi="ＭＳ Ｐゴシック" w:cs="ＭＳ Ｐゴシック"/>
                <w:color w:val="000000"/>
                <w:kern w:val="0"/>
                <w:sz w:val="22"/>
              </w:rPr>
            </w:pPr>
          </w:p>
        </w:tc>
      </w:tr>
      <w:tr w:rsidR="00D22E87" w:rsidRPr="00D8690C" w14:paraId="38CF0D2E" w14:textId="3B3CBD04" w:rsidTr="00D22E87">
        <w:trPr>
          <w:trHeight w:val="52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3561DE89"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2. 現行の機能安全論証のレビューとギャップ分析</w:t>
            </w:r>
          </w:p>
        </w:tc>
        <w:tc>
          <w:tcPr>
            <w:tcW w:w="5378" w:type="dxa"/>
            <w:tcBorders>
              <w:top w:val="nil"/>
              <w:left w:val="nil"/>
              <w:bottom w:val="single" w:sz="4" w:space="0" w:color="auto"/>
              <w:right w:val="single" w:sz="4" w:space="0" w:color="auto"/>
            </w:tcBorders>
            <w:shd w:val="clear" w:color="auto" w:fill="auto"/>
            <w:vAlign w:val="center"/>
            <w:hideMark/>
          </w:tcPr>
          <w:p w14:paraId="06A310FA" w14:textId="7FBAF2A9"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c>
          <w:tcPr>
            <w:tcW w:w="844" w:type="dxa"/>
            <w:tcBorders>
              <w:top w:val="nil"/>
              <w:left w:val="nil"/>
              <w:bottom w:val="single" w:sz="4" w:space="0" w:color="auto"/>
              <w:right w:val="single" w:sz="4" w:space="0" w:color="auto"/>
            </w:tcBorders>
          </w:tcPr>
          <w:p w14:paraId="242C1301" w14:textId="06E8CC34"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１１月</w:t>
            </w:r>
          </w:p>
        </w:tc>
      </w:tr>
      <w:tr w:rsidR="00D22E87" w:rsidRPr="00D8690C" w14:paraId="41867242" w14:textId="49E1CAF4"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7A3966B0" w14:textId="51EF3881"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c>
          <w:tcPr>
            <w:tcW w:w="5378" w:type="dxa"/>
            <w:tcBorders>
              <w:top w:val="nil"/>
              <w:left w:val="nil"/>
              <w:bottom w:val="single" w:sz="4" w:space="0" w:color="auto"/>
              <w:right w:val="single" w:sz="4" w:space="0" w:color="auto"/>
            </w:tcBorders>
            <w:shd w:val="clear" w:color="auto" w:fill="auto"/>
            <w:vAlign w:val="center"/>
            <w:hideMark/>
          </w:tcPr>
          <w:p w14:paraId="07256AFF" w14:textId="05AB7EB5"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ISO26262準拠プロセスの確認とレビュー</w:t>
            </w:r>
          </w:p>
        </w:tc>
        <w:tc>
          <w:tcPr>
            <w:tcW w:w="844" w:type="dxa"/>
            <w:tcBorders>
              <w:top w:val="nil"/>
              <w:left w:val="nil"/>
              <w:bottom w:val="single" w:sz="4" w:space="0" w:color="auto"/>
              <w:right w:val="single" w:sz="4" w:space="0" w:color="auto"/>
            </w:tcBorders>
          </w:tcPr>
          <w:p w14:paraId="7633D851"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0C1D14E5" w14:textId="3DFE87EC"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tcPr>
          <w:p w14:paraId="5A303C86"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c>
          <w:tcPr>
            <w:tcW w:w="5378" w:type="dxa"/>
            <w:tcBorders>
              <w:top w:val="nil"/>
              <w:left w:val="nil"/>
              <w:bottom w:val="single" w:sz="4" w:space="0" w:color="auto"/>
              <w:right w:val="single" w:sz="4" w:space="0" w:color="auto"/>
            </w:tcBorders>
            <w:shd w:val="clear" w:color="auto" w:fill="auto"/>
            <w:vAlign w:val="center"/>
          </w:tcPr>
          <w:p w14:paraId="078ECB62" w14:textId="5EFE0359"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826F0E">
              <w:rPr>
                <w:rFonts w:ascii="ＭＳ Ｐゴシック" w:eastAsia="ＭＳ Ｐゴシック" w:hAnsi="ＭＳ Ｐゴシック" w:cs="ＭＳ Ｐゴシック" w:hint="eastAsia"/>
                <w:color w:val="4472C4" w:themeColor="accent1"/>
                <w:kern w:val="0"/>
                <w:sz w:val="22"/>
              </w:rPr>
              <w:t>作業対象範囲と役割＆責任の確認</w:t>
            </w:r>
          </w:p>
        </w:tc>
        <w:tc>
          <w:tcPr>
            <w:tcW w:w="844" w:type="dxa"/>
            <w:tcBorders>
              <w:top w:val="nil"/>
              <w:left w:val="nil"/>
              <w:bottom w:val="single" w:sz="4" w:space="0" w:color="auto"/>
              <w:right w:val="single" w:sz="4" w:space="0" w:color="auto"/>
            </w:tcBorders>
          </w:tcPr>
          <w:p w14:paraId="68B1432C" w14:textId="77777777" w:rsidR="00D22E87"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5B3A1863" w14:textId="736AD209"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tcPr>
          <w:p w14:paraId="2D3DCAE6" w14:textId="6157A06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3. GSNによる安全論証の設計</w:t>
            </w:r>
          </w:p>
        </w:tc>
        <w:tc>
          <w:tcPr>
            <w:tcW w:w="5378" w:type="dxa"/>
            <w:tcBorders>
              <w:top w:val="nil"/>
              <w:left w:val="nil"/>
              <w:bottom w:val="single" w:sz="4" w:space="0" w:color="auto"/>
              <w:right w:val="single" w:sz="4" w:space="0" w:color="auto"/>
            </w:tcBorders>
            <w:shd w:val="clear" w:color="auto" w:fill="auto"/>
            <w:vAlign w:val="center"/>
          </w:tcPr>
          <w:p w14:paraId="369DB51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c>
          <w:tcPr>
            <w:tcW w:w="844" w:type="dxa"/>
            <w:tcBorders>
              <w:top w:val="nil"/>
              <w:left w:val="nil"/>
              <w:bottom w:val="single" w:sz="4" w:space="0" w:color="auto"/>
              <w:right w:val="single" w:sz="4" w:space="0" w:color="auto"/>
            </w:tcBorders>
          </w:tcPr>
          <w:p w14:paraId="6408A86A" w14:textId="005B0C50"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１２月</w:t>
            </w:r>
          </w:p>
        </w:tc>
      </w:tr>
      <w:tr w:rsidR="00D22E87" w:rsidRPr="00D8690C" w14:paraId="289CB0CC" w14:textId="3B31E22B"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5DDA1B9A"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1361C3A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GSNのゴール設定と戦略定義</w:t>
            </w:r>
          </w:p>
        </w:tc>
        <w:tc>
          <w:tcPr>
            <w:tcW w:w="844" w:type="dxa"/>
            <w:tcBorders>
              <w:top w:val="nil"/>
              <w:left w:val="nil"/>
              <w:bottom w:val="single" w:sz="4" w:space="0" w:color="auto"/>
              <w:right w:val="single" w:sz="4" w:space="0" w:color="auto"/>
            </w:tcBorders>
          </w:tcPr>
          <w:p w14:paraId="03BE6889"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7D81B3BD" w14:textId="3ABD0C3D"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1E3739A2"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47AAC62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サブゴールの設定と戦略定義</w:t>
            </w:r>
          </w:p>
        </w:tc>
        <w:tc>
          <w:tcPr>
            <w:tcW w:w="844" w:type="dxa"/>
            <w:tcBorders>
              <w:top w:val="nil"/>
              <w:left w:val="nil"/>
              <w:bottom w:val="single" w:sz="4" w:space="0" w:color="auto"/>
              <w:right w:val="single" w:sz="4" w:space="0" w:color="auto"/>
            </w:tcBorders>
          </w:tcPr>
          <w:p w14:paraId="018B4A0B"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295E95A3" w14:textId="57A43F38"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73D9627A"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75A3D63B"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エビデンスの収集と整備</w:t>
            </w:r>
          </w:p>
        </w:tc>
        <w:tc>
          <w:tcPr>
            <w:tcW w:w="844" w:type="dxa"/>
            <w:tcBorders>
              <w:top w:val="nil"/>
              <w:left w:val="nil"/>
              <w:bottom w:val="single" w:sz="4" w:space="0" w:color="auto"/>
              <w:right w:val="single" w:sz="4" w:space="0" w:color="auto"/>
            </w:tcBorders>
          </w:tcPr>
          <w:p w14:paraId="531A1C2A"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718CE9AC" w14:textId="2BB74DE0"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2C9F5FF7"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793140B9" w14:textId="3CE088A9" w:rsidR="00D22E87" w:rsidRPr="00D8690C" w:rsidRDefault="00335EE6"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FF0000"/>
                <w:kern w:val="0"/>
                <w:sz w:val="22"/>
              </w:rPr>
              <w:t>「</w:t>
            </w:r>
            <w:r w:rsidR="00D22E87" w:rsidRPr="00335EE6">
              <w:rPr>
                <w:rFonts w:ascii="ＭＳ Ｐゴシック" w:eastAsia="ＭＳ Ｐゴシック" w:hAnsi="ＭＳ Ｐゴシック" w:cs="ＭＳ Ｐゴシック" w:hint="eastAsia"/>
                <w:color w:val="FF0000"/>
                <w:kern w:val="0"/>
                <w:sz w:val="22"/>
              </w:rPr>
              <w:t>GSN</w:t>
            </w:r>
            <w:r>
              <w:rPr>
                <w:rFonts w:ascii="ＭＳ Ｐゴシック" w:eastAsia="ＭＳ Ｐゴシック" w:hAnsi="ＭＳ Ｐゴシック" w:cs="ＭＳ Ｐゴシック" w:hint="eastAsia"/>
                <w:color w:val="FF0000"/>
                <w:kern w:val="0"/>
                <w:sz w:val="22"/>
              </w:rPr>
              <w:t>安全論証</w:t>
            </w:r>
            <w:r w:rsidR="00D22E87" w:rsidRPr="00335EE6">
              <w:rPr>
                <w:rFonts w:ascii="ＭＳ Ｐゴシック" w:eastAsia="ＭＳ Ｐゴシック" w:hAnsi="ＭＳ Ｐゴシック" w:cs="ＭＳ Ｐゴシック" w:hint="eastAsia"/>
                <w:color w:val="FF0000"/>
                <w:kern w:val="0"/>
                <w:sz w:val="22"/>
              </w:rPr>
              <w:t>フレームワーク</w:t>
            </w:r>
            <w:r>
              <w:rPr>
                <w:rFonts w:ascii="ＭＳ Ｐゴシック" w:eastAsia="ＭＳ Ｐゴシック" w:hAnsi="ＭＳ Ｐゴシック" w:cs="ＭＳ Ｐゴシック" w:hint="eastAsia"/>
                <w:color w:val="FF0000"/>
                <w:kern w:val="0"/>
                <w:sz w:val="22"/>
              </w:rPr>
              <w:t>」</w:t>
            </w:r>
            <w:r w:rsidR="00D22E87" w:rsidRPr="00D8690C">
              <w:rPr>
                <w:rFonts w:ascii="ＭＳ Ｐゴシック" w:eastAsia="ＭＳ Ｐゴシック" w:hAnsi="ＭＳ Ｐゴシック" w:cs="ＭＳ Ｐゴシック" w:hint="eastAsia"/>
                <w:color w:val="000000"/>
                <w:kern w:val="0"/>
                <w:sz w:val="22"/>
              </w:rPr>
              <w:t>の確認</w:t>
            </w:r>
          </w:p>
        </w:tc>
        <w:tc>
          <w:tcPr>
            <w:tcW w:w="844" w:type="dxa"/>
            <w:tcBorders>
              <w:top w:val="nil"/>
              <w:left w:val="nil"/>
              <w:bottom w:val="single" w:sz="4" w:space="0" w:color="auto"/>
              <w:right w:val="single" w:sz="4" w:space="0" w:color="auto"/>
            </w:tcBorders>
          </w:tcPr>
          <w:p w14:paraId="32336351"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64CB2D56" w14:textId="7875E533"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48073B06"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4. GSNモデルの実装</w:t>
            </w:r>
          </w:p>
        </w:tc>
        <w:tc>
          <w:tcPr>
            <w:tcW w:w="5378" w:type="dxa"/>
            <w:tcBorders>
              <w:top w:val="nil"/>
              <w:left w:val="nil"/>
              <w:bottom w:val="single" w:sz="4" w:space="0" w:color="auto"/>
              <w:right w:val="single" w:sz="4" w:space="0" w:color="auto"/>
            </w:tcBorders>
            <w:shd w:val="clear" w:color="auto" w:fill="auto"/>
            <w:vAlign w:val="center"/>
            <w:hideMark/>
          </w:tcPr>
          <w:p w14:paraId="58703C6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844" w:type="dxa"/>
            <w:tcBorders>
              <w:top w:val="nil"/>
              <w:left w:val="nil"/>
              <w:bottom w:val="single" w:sz="4" w:space="0" w:color="auto"/>
              <w:right w:val="single" w:sz="4" w:space="0" w:color="auto"/>
            </w:tcBorders>
          </w:tcPr>
          <w:p w14:paraId="5DE6E05E" w14:textId="3595EA29"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１月</w:t>
            </w:r>
          </w:p>
        </w:tc>
      </w:tr>
      <w:tr w:rsidR="00D22E87" w:rsidRPr="00D8690C" w14:paraId="746C4BD4" w14:textId="7D3A6650"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6197333A"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009522FF" w14:textId="340C4849" w:rsidR="00D22E87" w:rsidRPr="00D8690C" w:rsidRDefault="00826F0E"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FF0000"/>
                <w:kern w:val="0"/>
                <w:sz w:val="22"/>
              </w:rPr>
              <w:t>「</w:t>
            </w:r>
            <w:r w:rsidR="00D22E87" w:rsidRPr="00335EE6">
              <w:rPr>
                <w:rFonts w:ascii="ＭＳ Ｐゴシック" w:eastAsia="ＭＳ Ｐゴシック" w:hAnsi="ＭＳ Ｐゴシック" w:cs="ＭＳ Ｐゴシック" w:hint="eastAsia"/>
                <w:color w:val="FF0000"/>
                <w:kern w:val="0"/>
                <w:sz w:val="22"/>
              </w:rPr>
              <w:t>GSNによる機能安全論証モデル</w:t>
            </w:r>
            <w:r>
              <w:rPr>
                <w:rFonts w:ascii="ＭＳ Ｐゴシック" w:eastAsia="ＭＳ Ｐゴシック" w:hAnsi="ＭＳ Ｐゴシック" w:cs="ＭＳ Ｐゴシック" w:hint="eastAsia"/>
                <w:color w:val="FF0000"/>
                <w:kern w:val="0"/>
                <w:sz w:val="22"/>
              </w:rPr>
              <w:t>」</w:t>
            </w:r>
            <w:r w:rsidR="00D22E87" w:rsidRPr="00D8690C">
              <w:rPr>
                <w:rFonts w:ascii="ＭＳ Ｐゴシック" w:eastAsia="ＭＳ Ｐゴシック" w:hAnsi="ＭＳ Ｐゴシック" w:cs="ＭＳ Ｐゴシック" w:hint="eastAsia"/>
                <w:color w:val="000000"/>
                <w:kern w:val="0"/>
                <w:sz w:val="22"/>
              </w:rPr>
              <w:t>を作成</w:t>
            </w:r>
          </w:p>
        </w:tc>
        <w:tc>
          <w:tcPr>
            <w:tcW w:w="844" w:type="dxa"/>
            <w:tcBorders>
              <w:top w:val="nil"/>
              <w:left w:val="nil"/>
              <w:bottom w:val="single" w:sz="4" w:space="0" w:color="auto"/>
              <w:right w:val="single" w:sz="4" w:space="0" w:color="auto"/>
            </w:tcBorders>
          </w:tcPr>
          <w:p w14:paraId="4474080B"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06DA0916" w14:textId="326566F0" w:rsidTr="00D22E87">
        <w:trPr>
          <w:trHeight w:val="52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79A5F0E2"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6E1716FE" w14:textId="2C5FF38A"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GSNモデル内で各ゴールと根拠をリンクさせ、適切な</w:t>
            </w:r>
            <w:r w:rsidR="00BC781C">
              <w:rPr>
                <w:rFonts w:ascii="ＭＳ Ｐゴシック" w:eastAsia="ＭＳ Ｐゴシック" w:hAnsi="ＭＳ Ｐゴシック" w:cs="ＭＳ Ｐゴシック" w:hint="eastAsia"/>
                <w:color w:val="000000"/>
                <w:kern w:val="0"/>
                <w:sz w:val="22"/>
              </w:rPr>
              <w:t>エビデンス</w:t>
            </w:r>
            <w:r w:rsidRPr="00D8690C">
              <w:rPr>
                <w:rFonts w:ascii="ＭＳ Ｐゴシック" w:eastAsia="ＭＳ Ｐゴシック" w:hAnsi="ＭＳ Ｐゴシック" w:cs="ＭＳ Ｐゴシック" w:hint="eastAsia"/>
                <w:color w:val="000000"/>
                <w:kern w:val="0"/>
                <w:sz w:val="22"/>
              </w:rPr>
              <w:t>を配置</w:t>
            </w:r>
          </w:p>
        </w:tc>
        <w:tc>
          <w:tcPr>
            <w:tcW w:w="844" w:type="dxa"/>
            <w:tcBorders>
              <w:top w:val="nil"/>
              <w:left w:val="nil"/>
              <w:bottom w:val="single" w:sz="4" w:space="0" w:color="auto"/>
              <w:right w:val="single" w:sz="4" w:space="0" w:color="auto"/>
            </w:tcBorders>
          </w:tcPr>
          <w:p w14:paraId="772ACFF7"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7B1CAF6C" w14:textId="40791B36"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759B3960"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5. GSNモデルのレビューと改善</w:t>
            </w:r>
          </w:p>
        </w:tc>
        <w:tc>
          <w:tcPr>
            <w:tcW w:w="5378" w:type="dxa"/>
            <w:tcBorders>
              <w:top w:val="nil"/>
              <w:left w:val="nil"/>
              <w:bottom w:val="single" w:sz="4" w:space="0" w:color="auto"/>
              <w:right w:val="single" w:sz="4" w:space="0" w:color="auto"/>
            </w:tcBorders>
            <w:shd w:val="clear" w:color="auto" w:fill="auto"/>
            <w:vAlign w:val="center"/>
            <w:hideMark/>
          </w:tcPr>
          <w:p w14:paraId="5EF51467"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844" w:type="dxa"/>
            <w:tcBorders>
              <w:top w:val="nil"/>
              <w:left w:val="nil"/>
              <w:bottom w:val="single" w:sz="4" w:space="0" w:color="auto"/>
              <w:right w:val="single" w:sz="4" w:space="0" w:color="auto"/>
            </w:tcBorders>
          </w:tcPr>
          <w:p w14:paraId="0115B06D" w14:textId="5A598AFE"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２月</w:t>
            </w:r>
          </w:p>
        </w:tc>
      </w:tr>
      <w:tr w:rsidR="00D22E87" w:rsidRPr="00D8690C" w14:paraId="71722A17" w14:textId="381DF5DA"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1682B3AE"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2F33CDFD"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GSNモデルのレビュー</w:t>
            </w:r>
          </w:p>
        </w:tc>
        <w:tc>
          <w:tcPr>
            <w:tcW w:w="844" w:type="dxa"/>
            <w:tcBorders>
              <w:top w:val="nil"/>
              <w:left w:val="nil"/>
              <w:bottom w:val="single" w:sz="4" w:space="0" w:color="auto"/>
              <w:right w:val="single" w:sz="4" w:space="0" w:color="auto"/>
            </w:tcBorders>
          </w:tcPr>
          <w:p w14:paraId="706D8522"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29E748BC" w14:textId="349965F5"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43C5A3A0"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102300ED"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フィードバックと改善の反映</w:t>
            </w:r>
          </w:p>
        </w:tc>
        <w:tc>
          <w:tcPr>
            <w:tcW w:w="844" w:type="dxa"/>
            <w:tcBorders>
              <w:top w:val="nil"/>
              <w:left w:val="nil"/>
              <w:bottom w:val="single" w:sz="4" w:space="0" w:color="auto"/>
              <w:right w:val="single" w:sz="4" w:space="0" w:color="auto"/>
            </w:tcBorders>
          </w:tcPr>
          <w:p w14:paraId="7BE94489"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7088E7E7" w14:textId="3EF7487C" w:rsidTr="00D22E87">
        <w:trPr>
          <w:trHeight w:val="52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28DE1676"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6. GSNによる機能安全論証の運用ガイドライン作成</w:t>
            </w:r>
          </w:p>
        </w:tc>
        <w:tc>
          <w:tcPr>
            <w:tcW w:w="5378" w:type="dxa"/>
            <w:tcBorders>
              <w:top w:val="nil"/>
              <w:left w:val="nil"/>
              <w:bottom w:val="single" w:sz="4" w:space="0" w:color="auto"/>
              <w:right w:val="single" w:sz="4" w:space="0" w:color="auto"/>
            </w:tcBorders>
            <w:shd w:val="clear" w:color="auto" w:fill="auto"/>
            <w:vAlign w:val="center"/>
            <w:hideMark/>
          </w:tcPr>
          <w:p w14:paraId="6B106F40"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844" w:type="dxa"/>
            <w:tcBorders>
              <w:top w:val="nil"/>
              <w:left w:val="nil"/>
              <w:bottom w:val="single" w:sz="4" w:space="0" w:color="auto"/>
              <w:right w:val="single" w:sz="4" w:space="0" w:color="auto"/>
            </w:tcBorders>
          </w:tcPr>
          <w:p w14:paraId="2FA49BAF" w14:textId="623896B5"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３月</w:t>
            </w:r>
          </w:p>
        </w:tc>
      </w:tr>
      <w:tr w:rsidR="00D22E87" w:rsidRPr="00D8690C" w14:paraId="2BC712BC" w14:textId="58F54BDC" w:rsidTr="00D22E87">
        <w:trPr>
          <w:trHeight w:val="36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4F357A49"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51A1159D"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GSN運用フローおよびルールを文書化</w:t>
            </w:r>
          </w:p>
        </w:tc>
        <w:tc>
          <w:tcPr>
            <w:tcW w:w="844" w:type="dxa"/>
            <w:tcBorders>
              <w:top w:val="nil"/>
              <w:left w:val="nil"/>
              <w:bottom w:val="single" w:sz="4" w:space="0" w:color="auto"/>
              <w:right w:val="single" w:sz="4" w:space="0" w:color="auto"/>
            </w:tcBorders>
          </w:tcPr>
          <w:p w14:paraId="556C151B"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r w:rsidR="00D22E87" w:rsidRPr="00D8690C" w14:paraId="1C39C29A" w14:textId="2E729303" w:rsidTr="00D22E87">
        <w:trPr>
          <w:trHeight w:val="520"/>
        </w:trPr>
        <w:tc>
          <w:tcPr>
            <w:tcW w:w="2272" w:type="dxa"/>
            <w:tcBorders>
              <w:top w:val="nil"/>
              <w:left w:val="single" w:sz="4" w:space="0" w:color="auto"/>
              <w:bottom w:val="single" w:sz="4" w:space="0" w:color="auto"/>
              <w:right w:val="single" w:sz="4" w:space="0" w:color="auto"/>
            </w:tcBorders>
            <w:shd w:val="clear" w:color="auto" w:fill="auto"/>
            <w:vAlign w:val="center"/>
            <w:hideMark/>
          </w:tcPr>
          <w:p w14:paraId="0F2682F4"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5378" w:type="dxa"/>
            <w:tcBorders>
              <w:top w:val="nil"/>
              <w:left w:val="nil"/>
              <w:bottom w:val="single" w:sz="4" w:space="0" w:color="auto"/>
              <w:right w:val="single" w:sz="4" w:space="0" w:color="auto"/>
            </w:tcBorders>
            <w:shd w:val="clear" w:color="auto" w:fill="auto"/>
            <w:vAlign w:val="center"/>
            <w:hideMark/>
          </w:tcPr>
          <w:p w14:paraId="537A7726"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GSNの使用方法に関するトレーニング資料を作成し、説明会を実施</w:t>
            </w:r>
          </w:p>
        </w:tc>
        <w:tc>
          <w:tcPr>
            <w:tcW w:w="844" w:type="dxa"/>
            <w:tcBorders>
              <w:top w:val="nil"/>
              <w:left w:val="nil"/>
              <w:bottom w:val="single" w:sz="4" w:space="0" w:color="auto"/>
              <w:right w:val="single" w:sz="4" w:space="0" w:color="auto"/>
            </w:tcBorders>
          </w:tcPr>
          <w:p w14:paraId="7C7EAAA2" w14:textId="77777777" w:rsidR="00D22E87" w:rsidRPr="00D8690C" w:rsidRDefault="00D22E87" w:rsidP="00D8690C">
            <w:pPr>
              <w:widowControl/>
              <w:jc w:val="left"/>
              <w:rPr>
                <w:rFonts w:ascii="ＭＳ Ｐゴシック" w:eastAsia="ＭＳ Ｐゴシック" w:hAnsi="ＭＳ Ｐゴシック" w:cs="ＭＳ Ｐゴシック"/>
                <w:color w:val="000000"/>
                <w:kern w:val="0"/>
                <w:sz w:val="22"/>
              </w:rPr>
            </w:pPr>
          </w:p>
        </w:tc>
      </w:tr>
    </w:tbl>
    <w:p w14:paraId="384D8EAA" w14:textId="77777777" w:rsidR="00D8690C" w:rsidRPr="00D8690C" w:rsidRDefault="00D8690C" w:rsidP="00081E86">
      <w:pPr>
        <w:rPr>
          <w:rFonts w:hint="eastAsia"/>
        </w:rPr>
      </w:pPr>
    </w:p>
    <w:p w14:paraId="0A3F9639" w14:textId="77777777" w:rsidR="00D35AF8" w:rsidRDefault="00D35AF8">
      <w:pPr>
        <w:widowControl/>
        <w:jc w:val="left"/>
        <w:rPr>
          <w:b/>
          <w:bCs/>
        </w:rPr>
      </w:pPr>
      <w:r>
        <w:rPr>
          <w:b/>
          <w:bCs/>
        </w:rPr>
        <w:br w:type="page"/>
      </w:r>
    </w:p>
    <w:p w14:paraId="1FDEB619" w14:textId="4B9E12AF" w:rsidR="00716444" w:rsidRPr="00D8690C" w:rsidRDefault="00FB47E4" w:rsidP="00FB47E4">
      <w:pPr>
        <w:rPr>
          <w:b/>
          <w:bCs/>
        </w:rPr>
      </w:pPr>
      <w:r w:rsidRPr="008C064A">
        <w:rPr>
          <w:b/>
          <w:bCs/>
        </w:rPr>
        <w:lastRenderedPageBreak/>
        <w:t>5. スケジュール</w:t>
      </w:r>
    </w:p>
    <w:p w14:paraId="20C92704" w14:textId="015F2F68" w:rsidR="00716444" w:rsidRDefault="00716444" w:rsidP="00FB47E4">
      <w:r>
        <w:rPr>
          <w:rFonts w:hint="eastAsia"/>
        </w:rPr>
        <w:t>別紙参照：</w:t>
      </w:r>
      <w:hyperlink r:id="rId12" w:history="1">
        <w:r w:rsidRPr="00716444">
          <w:rPr>
            <w:rStyle w:val="a8"/>
            <w:rFonts w:hint="eastAsia"/>
          </w:rPr>
          <w:t>「</w:t>
        </w:r>
        <w:r w:rsidRPr="00716444">
          <w:rPr>
            <w:rStyle w:val="a8"/>
          </w:rPr>
          <w:t>GSNによる機能安全論証」 計画書タスクツリー.xlsx</w:t>
        </w:r>
      </w:hyperlink>
    </w:p>
    <w:p w14:paraId="5C371AA4" w14:textId="0A6A0216" w:rsidR="00FB47E4" w:rsidRDefault="000278A0" w:rsidP="00FB47E4">
      <w:r>
        <w:rPr>
          <w:rFonts w:hint="eastAsia"/>
        </w:rPr>
        <w:t>※R</w:t>
      </w:r>
      <w:r>
        <w:t>edmine</w:t>
      </w:r>
      <w:r>
        <w:rPr>
          <w:rFonts w:hint="eastAsia"/>
        </w:rPr>
        <w:t>を使用したい。</w:t>
      </w:r>
    </w:p>
    <w:p w14:paraId="3F8BA74F" w14:textId="77777777" w:rsidR="00D22E87" w:rsidRDefault="00D22E87" w:rsidP="00FB47E4"/>
    <w:p w14:paraId="31284DDE" w14:textId="36CC0092" w:rsidR="00EA5ECD" w:rsidRPr="00D22E87" w:rsidRDefault="00FB47E4" w:rsidP="00D22E87">
      <w:pPr>
        <w:widowControl/>
        <w:jc w:val="left"/>
      </w:pPr>
      <w:r w:rsidRPr="00D8690C">
        <w:rPr>
          <w:b/>
          <w:bCs/>
          <w:highlight w:val="darkGray"/>
        </w:rPr>
        <w:t xml:space="preserve">6. </w:t>
      </w:r>
      <w:r w:rsidR="00EA5ECD" w:rsidRPr="00D8690C">
        <w:rPr>
          <w:b/>
          <w:bCs/>
          <w:highlight w:val="darkGray"/>
        </w:rPr>
        <w:t>別途進捗管理</w:t>
      </w:r>
    </w:p>
    <w:p w14:paraId="09C1908B" w14:textId="0E730EE1" w:rsidR="00826F0E" w:rsidRDefault="00826F0E" w:rsidP="00826F0E">
      <w:r>
        <w:rPr>
          <w:rFonts w:hint="eastAsia"/>
        </w:rPr>
        <w:t>※</w:t>
      </w:r>
      <w:r w:rsidRPr="00826F0E">
        <w:t>Redmineを活用したタスク管理</w:t>
      </w:r>
      <w:r w:rsidRPr="00826F0E">
        <w:rPr>
          <w:rFonts w:hint="eastAsia"/>
        </w:rPr>
        <w:t>を実施したい。</w:t>
      </w:r>
    </w:p>
    <w:p w14:paraId="7841CBC0" w14:textId="5E6E6DDE" w:rsidR="00325C51" w:rsidRPr="00325C51" w:rsidRDefault="00325C51" w:rsidP="00826F0E">
      <w:r>
        <w:rPr>
          <w:rFonts w:hint="eastAsia"/>
        </w:rPr>
        <w:t>別紙参照：</w:t>
      </w:r>
      <w:hyperlink r:id="rId13" w:history="1">
        <w:r w:rsidRPr="00716444">
          <w:rPr>
            <w:rStyle w:val="a8"/>
            <w:rFonts w:hint="eastAsia"/>
          </w:rPr>
          <w:t>「</w:t>
        </w:r>
        <w:r w:rsidRPr="00716444">
          <w:rPr>
            <w:rStyle w:val="a8"/>
          </w:rPr>
          <w:t>GSNによる機能安全論証」 計画書タスクツリー.xlsx</w:t>
        </w:r>
      </w:hyperlink>
    </w:p>
    <w:p w14:paraId="4B90247B" w14:textId="2DDAAB6F" w:rsidR="000278A0" w:rsidRPr="00826F0E" w:rsidRDefault="00826F0E" w:rsidP="00826F0E">
      <w:r w:rsidRPr="00826F0E">
        <w:rPr>
          <w:rFonts w:hint="eastAsia"/>
        </w:rPr>
        <w:t>全フェーズの進捗は</w:t>
      </w:r>
      <w:r w:rsidRPr="00826F0E">
        <w:t>Redmineにて管理し、各フェーズの進行状況を</w:t>
      </w:r>
      <w:r w:rsidR="00E43335">
        <w:rPr>
          <w:rFonts w:hint="eastAsia"/>
        </w:rPr>
        <w:t>見える</w:t>
      </w:r>
      <w:r w:rsidRPr="00826F0E">
        <w:t>化</w:t>
      </w:r>
      <w:r w:rsidR="004B640E">
        <w:rPr>
          <w:rFonts w:hint="eastAsia"/>
        </w:rPr>
        <w:t>する</w:t>
      </w:r>
      <w:r w:rsidRPr="00826F0E">
        <w:t>。</w:t>
      </w:r>
    </w:p>
    <w:p w14:paraId="33E776B1" w14:textId="77777777" w:rsidR="00826F0E" w:rsidRPr="00E43335" w:rsidRDefault="00826F0E" w:rsidP="00826F0E">
      <w:pPr>
        <w:rPr>
          <w:b/>
          <w:bCs/>
          <w:highlight w:val="darkGray"/>
        </w:rPr>
      </w:pPr>
    </w:p>
    <w:p w14:paraId="1B4C8683" w14:textId="7FABCF33" w:rsidR="00881076" w:rsidRPr="00D8690C" w:rsidRDefault="00EA5ECD" w:rsidP="00FB47E4">
      <w:pPr>
        <w:rPr>
          <w:b/>
          <w:bCs/>
          <w:highlight w:val="darkGray"/>
        </w:rPr>
      </w:pPr>
      <w:r w:rsidRPr="00D8690C">
        <w:rPr>
          <w:rFonts w:hint="eastAsia"/>
          <w:b/>
          <w:bCs/>
          <w:highlight w:val="darkGray"/>
        </w:rPr>
        <w:t>7</w:t>
      </w:r>
      <w:r w:rsidRPr="00D8690C">
        <w:rPr>
          <w:b/>
          <w:bCs/>
          <w:highlight w:val="darkGray"/>
        </w:rPr>
        <w:t xml:space="preserve">. </w:t>
      </w:r>
      <w:r w:rsidR="00881076" w:rsidRPr="00D8690C">
        <w:rPr>
          <w:rFonts w:hint="eastAsia"/>
          <w:b/>
          <w:bCs/>
          <w:highlight w:val="darkGray"/>
        </w:rPr>
        <w:t>今後</w:t>
      </w:r>
    </w:p>
    <w:tbl>
      <w:tblPr>
        <w:tblW w:w="8260" w:type="dxa"/>
        <w:tblCellMar>
          <w:left w:w="99" w:type="dxa"/>
          <w:right w:w="99" w:type="dxa"/>
        </w:tblCellMar>
        <w:tblLook w:val="04A0" w:firstRow="1" w:lastRow="0" w:firstColumn="1" w:lastColumn="0" w:noHBand="0" w:noVBand="1"/>
      </w:tblPr>
      <w:tblGrid>
        <w:gridCol w:w="3520"/>
        <w:gridCol w:w="4740"/>
      </w:tblGrid>
      <w:tr w:rsidR="00D35AF8" w:rsidRPr="00D8690C" w14:paraId="3FD33B57" w14:textId="77777777" w:rsidTr="00EC7DF2">
        <w:trPr>
          <w:trHeight w:val="36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54BD820"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7. 定期的なプロセス監査</w:t>
            </w:r>
          </w:p>
        </w:tc>
        <w:tc>
          <w:tcPr>
            <w:tcW w:w="4740" w:type="dxa"/>
            <w:tcBorders>
              <w:top w:val="nil"/>
              <w:left w:val="nil"/>
              <w:bottom w:val="single" w:sz="4" w:space="0" w:color="auto"/>
              <w:right w:val="single" w:sz="4" w:space="0" w:color="auto"/>
            </w:tcBorders>
            <w:shd w:val="clear" w:color="auto" w:fill="auto"/>
            <w:vAlign w:val="center"/>
            <w:hideMark/>
          </w:tcPr>
          <w:p w14:paraId="29AF2961"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r>
      <w:tr w:rsidR="00D35AF8" w:rsidRPr="00D8690C" w14:paraId="4D6C0185" w14:textId="77777777" w:rsidTr="00EC7DF2">
        <w:trPr>
          <w:trHeight w:val="36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5984EED"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4740" w:type="dxa"/>
            <w:tcBorders>
              <w:top w:val="nil"/>
              <w:left w:val="nil"/>
              <w:bottom w:val="single" w:sz="4" w:space="0" w:color="auto"/>
              <w:right w:val="single" w:sz="4" w:space="0" w:color="auto"/>
            </w:tcBorders>
            <w:shd w:val="clear" w:color="auto" w:fill="auto"/>
            <w:vAlign w:val="center"/>
            <w:hideMark/>
          </w:tcPr>
          <w:p w14:paraId="5F18972A"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定期的なプロセス監査計画を策定</w:t>
            </w:r>
          </w:p>
        </w:tc>
      </w:tr>
      <w:tr w:rsidR="00D35AF8" w:rsidRPr="00D8690C" w14:paraId="38A1B7F1" w14:textId="77777777" w:rsidTr="00EC7DF2">
        <w:trPr>
          <w:trHeight w:val="36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3832E4C"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8. 継続的改善</w:t>
            </w:r>
          </w:p>
        </w:tc>
        <w:tc>
          <w:tcPr>
            <w:tcW w:w="4740" w:type="dxa"/>
            <w:tcBorders>
              <w:top w:val="nil"/>
              <w:left w:val="nil"/>
              <w:bottom w:val="single" w:sz="4" w:space="0" w:color="auto"/>
              <w:right w:val="single" w:sz="4" w:space="0" w:color="auto"/>
            </w:tcBorders>
            <w:shd w:val="clear" w:color="auto" w:fill="auto"/>
            <w:vAlign w:val="center"/>
            <w:hideMark/>
          </w:tcPr>
          <w:p w14:paraId="1A93F16E"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r>
      <w:tr w:rsidR="00D35AF8" w:rsidRPr="00D8690C" w14:paraId="16FA9DA0" w14:textId="77777777" w:rsidTr="00EC7DF2">
        <w:trPr>
          <w:trHeight w:val="36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F1A6E1F"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 xml:space="preserve">　</w:t>
            </w:r>
          </w:p>
        </w:tc>
        <w:tc>
          <w:tcPr>
            <w:tcW w:w="4740" w:type="dxa"/>
            <w:tcBorders>
              <w:top w:val="nil"/>
              <w:left w:val="nil"/>
              <w:bottom w:val="single" w:sz="4" w:space="0" w:color="auto"/>
              <w:right w:val="single" w:sz="4" w:space="0" w:color="auto"/>
            </w:tcBorders>
            <w:shd w:val="clear" w:color="auto" w:fill="auto"/>
            <w:vAlign w:val="center"/>
            <w:hideMark/>
          </w:tcPr>
          <w:p w14:paraId="23FF5F60" w14:textId="77777777" w:rsidR="00D35AF8" w:rsidRPr="00D8690C" w:rsidRDefault="00D35AF8" w:rsidP="00EC7DF2">
            <w:pPr>
              <w:widowControl/>
              <w:jc w:val="left"/>
              <w:rPr>
                <w:rFonts w:ascii="ＭＳ Ｐゴシック" w:eastAsia="ＭＳ Ｐゴシック" w:hAnsi="ＭＳ Ｐゴシック" w:cs="ＭＳ Ｐゴシック"/>
                <w:color w:val="000000"/>
                <w:kern w:val="0"/>
                <w:sz w:val="22"/>
              </w:rPr>
            </w:pPr>
            <w:r w:rsidRPr="00D8690C">
              <w:rPr>
                <w:rFonts w:ascii="ＭＳ Ｐゴシック" w:eastAsia="ＭＳ Ｐゴシック" w:hAnsi="ＭＳ Ｐゴシック" w:cs="ＭＳ Ｐゴシック" w:hint="eastAsia"/>
                <w:color w:val="000000"/>
                <w:kern w:val="0"/>
                <w:sz w:val="22"/>
              </w:rPr>
              <w:t>継続的改善プロセスを構築</w:t>
            </w:r>
          </w:p>
        </w:tc>
      </w:tr>
    </w:tbl>
    <w:p w14:paraId="68DF9B0B" w14:textId="77777777" w:rsidR="00D35AF8" w:rsidRDefault="00D35AF8" w:rsidP="008D0C15">
      <w:pPr>
        <w:rPr>
          <w:highlight w:val="darkGray"/>
        </w:rPr>
      </w:pPr>
    </w:p>
    <w:p w14:paraId="6C63EA0C" w14:textId="00ECC25F" w:rsidR="00E43335" w:rsidRDefault="002F4A4E" w:rsidP="00E43335">
      <w:r>
        <w:rPr>
          <w:rFonts w:hint="eastAsia"/>
        </w:rPr>
        <w:t>（１</w:t>
      </w:r>
      <w:r>
        <w:t>）</w:t>
      </w:r>
      <w:r w:rsidR="00E43335">
        <w:rPr>
          <w:rFonts w:hint="eastAsia"/>
        </w:rPr>
        <w:t>定期的なプロセス監査</w:t>
      </w:r>
    </w:p>
    <w:p w14:paraId="5016CE90" w14:textId="0B7A0336" w:rsidR="00E43335" w:rsidRDefault="0087123E" w:rsidP="00E43335">
      <w:r>
        <w:rPr>
          <w:rFonts w:hint="eastAsia"/>
        </w:rPr>
        <w:t>定期的</w:t>
      </w:r>
      <w:r w:rsidR="00E43335">
        <w:rPr>
          <w:rFonts w:hint="eastAsia"/>
        </w:rPr>
        <w:t>に監査を行い、品質の維持・向上を図</w:t>
      </w:r>
      <w:r>
        <w:rPr>
          <w:rFonts w:hint="eastAsia"/>
        </w:rPr>
        <w:t>り、是正管理</w:t>
      </w:r>
      <w:r w:rsidR="00E43335">
        <w:rPr>
          <w:rFonts w:hint="eastAsia"/>
        </w:rPr>
        <w:t>を通じて、運用の効率化と品質改善を行う。</w:t>
      </w:r>
      <w:r w:rsidR="002F4A4E">
        <w:rPr>
          <w:rFonts w:hint="eastAsia"/>
        </w:rPr>
        <w:t>別途</w:t>
      </w:r>
      <w:r w:rsidR="00151123">
        <w:rPr>
          <w:rFonts w:hint="eastAsia"/>
        </w:rPr>
        <w:t>「定期的なプロセス監査」に関しての</w:t>
      </w:r>
      <w:r w:rsidR="002F4A4E">
        <w:rPr>
          <w:rFonts w:hint="eastAsia"/>
        </w:rPr>
        <w:t>改善提案を行う。</w:t>
      </w:r>
    </w:p>
    <w:p w14:paraId="365FE820" w14:textId="2A6B0498" w:rsidR="007C2BF9" w:rsidRDefault="007C2BF9" w:rsidP="00E43335">
      <w:hyperlink r:id="rId14" w:history="1">
        <w:r w:rsidRPr="007C2BF9">
          <w:rPr>
            <w:rStyle w:val="a8"/>
          </w:rPr>
          <w:t>02_正しいプロセス\01_ISO26262準拠プロセス\01_プロセス適合性評価\99_その他資料\定期的なプロセス監査の提案計画検討.docx</w:t>
        </w:r>
      </w:hyperlink>
    </w:p>
    <w:p w14:paraId="27262998" w14:textId="77777777" w:rsidR="007C2BF9" w:rsidRDefault="007C2BF9" w:rsidP="00E43335"/>
    <w:p w14:paraId="7BAFEBCE" w14:textId="1EE97713" w:rsidR="00E43335" w:rsidRDefault="002F4A4E" w:rsidP="00E43335">
      <w:r>
        <w:rPr>
          <w:rFonts w:hint="eastAsia"/>
        </w:rPr>
        <w:t>（２）</w:t>
      </w:r>
      <w:r w:rsidR="00E43335">
        <w:rPr>
          <w:rFonts w:hint="eastAsia"/>
        </w:rPr>
        <w:t>継続的改善プロセス</w:t>
      </w:r>
    </w:p>
    <w:p w14:paraId="250F35BE" w14:textId="327AA14E" w:rsidR="00EF380C" w:rsidRDefault="00E43335" w:rsidP="00E43335">
      <w:r>
        <w:rPr>
          <w:rFonts w:hint="eastAsia"/>
        </w:rPr>
        <w:t>プロジェクト完了後も、</w:t>
      </w:r>
      <w:r>
        <w:t>GSN運用のプロセス改善を継続し、次の製品開発や安全論証にフィードバックを適用する。</w:t>
      </w:r>
      <w:r w:rsidR="002F4A4E">
        <w:rPr>
          <w:rFonts w:hint="eastAsia"/>
        </w:rPr>
        <w:t>別途改善提案を行う。</w:t>
      </w:r>
    </w:p>
    <w:p w14:paraId="0D4C203B" w14:textId="77777777" w:rsidR="00FF5B73" w:rsidRDefault="00FF5B73" w:rsidP="00E43335"/>
    <w:p w14:paraId="35B8B185" w14:textId="233EBAAF" w:rsidR="00376FA7" w:rsidRPr="00376FA7" w:rsidRDefault="00376FA7" w:rsidP="00376FA7">
      <w:pPr>
        <w:rPr>
          <w:rFonts w:hint="eastAsia"/>
          <w:b/>
          <w:bCs/>
        </w:rPr>
      </w:pPr>
      <w:r w:rsidRPr="00376FA7">
        <w:rPr>
          <w:b/>
          <w:bCs/>
        </w:rPr>
        <w:t xml:space="preserve">8. </w:t>
      </w:r>
      <w:r w:rsidR="00676A13">
        <w:rPr>
          <w:rFonts w:hint="eastAsia"/>
          <w:b/>
          <w:bCs/>
        </w:rPr>
        <w:t>その他</w:t>
      </w:r>
    </w:p>
    <w:p w14:paraId="097F075F" w14:textId="02FC3720" w:rsidR="00376FA7" w:rsidRDefault="001959C1" w:rsidP="00376FA7">
      <w:pPr>
        <w:rPr>
          <w:b/>
          <w:bCs/>
        </w:rPr>
      </w:pPr>
      <w:r>
        <w:rPr>
          <w:rFonts w:hint="eastAsia"/>
          <w:b/>
          <w:bCs/>
        </w:rPr>
        <w:t>各</w:t>
      </w:r>
      <w:r w:rsidR="00AB3211">
        <w:rPr>
          <w:rFonts w:hint="eastAsia"/>
          <w:b/>
          <w:bCs/>
        </w:rPr>
        <w:t>プロジェクトにおいて、</w:t>
      </w:r>
      <w:r>
        <w:rPr>
          <w:rFonts w:hint="eastAsia"/>
          <w:b/>
          <w:bCs/>
        </w:rPr>
        <w:t>正しい設計が行われていることと、正しい設計が実装されていることを論証する責任は</w:t>
      </w:r>
      <w:r w:rsidR="001F3257">
        <w:rPr>
          <w:rFonts w:hint="eastAsia"/>
          <w:b/>
          <w:bCs/>
        </w:rPr>
        <w:t>安全管理者</w:t>
      </w:r>
      <w:r w:rsidR="00EB4CE8">
        <w:rPr>
          <w:rFonts w:hint="eastAsia"/>
          <w:b/>
          <w:bCs/>
        </w:rPr>
        <w:t>にある</w:t>
      </w:r>
      <w:r w:rsidR="001F3257">
        <w:rPr>
          <w:rFonts w:hint="eastAsia"/>
          <w:b/>
          <w:bCs/>
        </w:rPr>
        <w:t>。</w:t>
      </w:r>
      <w:r w:rsidR="00376FA7" w:rsidRPr="00376FA7">
        <w:rPr>
          <w:b/>
          <w:bCs/>
        </w:rPr>
        <w:t>機能安全論証の</w:t>
      </w:r>
      <w:r w:rsidR="00CD304C">
        <w:rPr>
          <w:rFonts w:hint="eastAsia"/>
          <w:b/>
          <w:bCs/>
        </w:rPr>
        <w:t>方法は各プロジェクトで</w:t>
      </w:r>
      <w:r w:rsidR="00676A13">
        <w:rPr>
          <w:rFonts w:hint="eastAsia"/>
          <w:b/>
          <w:bCs/>
        </w:rPr>
        <w:t>自由に決定して良い</w:t>
      </w:r>
      <w:r w:rsidR="00376FA7" w:rsidRPr="00376FA7">
        <w:rPr>
          <w:b/>
          <w:bCs/>
        </w:rPr>
        <w:t>。</w:t>
      </w:r>
    </w:p>
    <w:p w14:paraId="40289350" w14:textId="77777777" w:rsidR="00CD304C" w:rsidRPr="00376FA7" w:rsidRDefault="00CD304C" w:rsidP="00376FA7">
      <w:pPr>
        <w:rPr>
          <w:rFonts w:hint="eastAsia"/>
          <w:b/>
          <w:bCs/>
        </w:rPr>
      </w:pPr>
    </w:p>
    <w:p w14:paraId="694A88FF" w14:textId="77777777" w:rsidR="00376FA7" w:rsidRPr="00376FA7" w:rsidRDefault="00376FA7" w:rsidP="00376FA7">
      <w:pPr>
        <w:numPr>
          <w:ilvl w:val="0"/>
          <w:numId w:val="6"/>
        </w:numPr>
        <w:rPr>
          <w:b/>
          <w:bCs/>
        </w:rPr>
      </w:pPr>
      <w:r w:rsidRPr="00376FA7">
        <w:rPr>
          <w:b/>
          <w:bCs/>
        </w:rPr>
        <w:t>開発部門</w:t>
      </w:r>
    </w:p>
    <w:p w14:paraId="6B769565" w14:textId="77777777" w:rsidR="00376FA7" w:rsidRPr="00376FA7" w:rsidRDefault="00376FA7" w:rsidP="00376FA7">
      <w:pPr>
        <w:numPr>
          <w:ilvl w:val="1"/>
          <w:numId w:val="6"/>
        </w:numPr>
        <w:rPr>
          <w:b/>
          <w:bCs/>
        </w:rPr>
      </w:pPr>
      <w:r w:rsidRPr="00376FA7">
        <w:rPr>
          <w:b/>
          <w:bCs/>
        </w:rPr>
        <w:t>開発部門は、GSNモデルにおける証拠の収集および設計内容の提供を担当し、GSN構造内でのエビデンスとしての整合性を確保する役割を担います。</w:t>
      </w:r>
    </w:p>
    <w:p w14:paraId="3F4E4013" w14:textId="77777777" w:rsidR="00376FA7" w:rsidRPr="00376FA7" w:rsidRDefault="00376FA7" w:rsidP="00376FA7">
      <w:pPr>
        <w:numPr>
          <w:ilvl w:val="1"/>
          <w:numId w:val="6"/>
        </w:numPr>
        <w:rPr>
          <w:b/>
          <w:bCs/>
        </w:rPr>
      </w:pPr>
      <w:r w:rsidRPr="00376FA7">
        <w:rPr>
          <w:b/>
          <w:bCs/>
        </w:rPr>
        <w:t>特に、HW/SW設計に関する詳細な情報の提供、安全分析の協力、またISO26262の要求に応じたプロセス遵守の証拠資料を準備することが求められます。</w:t>
      </w:r>
    </w:p>
    <w:p w14:paraId="37FCE076" w14:textId="77777777" w:rsidR="00376FA7" w:rsidRPr="00376FA7" w:rsidRDefault="00376FA7" w:rsidP="00376FA7">
      <w:pPr>
        <w:rPr>
          <w:b/>
          <w:bCs/>
        </w:rPr>
      </w:pPr>
      <w:r w:rsidRPr="00376FA7">
        <w:rPr>
          <w:b/>
          <w:bCs/>
        </w:rPr>
        <w:lastRenderedPageBreak/>
        <w:t>役割・責任</w:t>
      </w:r>
    </w:p>
    <w:p w14:paraId="7B3BD43F" w14:textId="77777777" w:rsidR="00376FA7" w:rsidRPr="00376FA7" w:rsidRDefault="00376FA7" w:rsidP="00376FA7">
      <w:pPr>
        <w:numPr>
          <w:ilvl w:val="0"/>
          <w:numId w:val="7"/>
        </w:numPr>
        <w:rPr>
          <w:b/>
          <w:bCs/>
        </w:rPr>
      </w:pPr>
      <w:r w:rsidRPr="00376FA7">
        <w:rPr>
          <w:b/>
          <w:bCs/>
        </w:rPr>
        <w:t>GSNモデル構築支援：開発部門はGSNモデルの設計と実装を支援し、各ゴールや戦略に対応する適切なエビデンス（例：設計レビュー、テスト結果、妥当性・完全性に関する資料）を提供します。</w:t>
      </w:r>
    </w:p>
    <w:p w14:paraId="414A7CBB" w14:textId="77777777" w:rsidR="00376FA7" w:rsidRPr="00376FA7" w:rsidRDefault="00376FA7" w:rsidP="00376FA7">
      <w:pPr>
        <w:numPr>
          <w:ilvl w:val="0"/>
          <w:numId w:val="7"/>
        </w:numPr>
        <w:rPr>
          <w:b/>
          <w:bCs/>
        </w:rPr>
      </w:pPr>
      <w:r w:rsidRPr="00376FA7">
        <w:rPr>
          <w:b/>
          <w:bCs/>
        </w:rPr>
        <w:t>情報提供とフィードバック：論証フレームワーク設計段階から継続的に関与し、GSNモデルのレビューや改善の過程でフィードバックを行います。</w:t>
      </w:r>
    </w:p>
    <w:p w14:paraId="619FF7E9" w14:textId="77777777" w:rsidR="00376FA7" w:rsidRPr="00376FA7" w:rsidRDefault="00376FA7" w:rsidP="00376FA7">
      <w:pPr>
        <w:numPr>
          <w:ilvl w:val="0"/>
          <w:numId w:val="7"/>
        </w:numPr>
        <w:rPr>
          <w:b/>
          <w:bCs/>
        </w:rPr>
      </w:pPr>
      <w:r w:rsidRPr="00376FA7">
        <w:rPr>
          <w:b/>
          <w:bCs/>
        </w:rPr>
        <w:t>継続的改善への貢献：運用後のGSNモデルについても、改善プロセスを通じて情報の更新やプロセス最適化に協力します。</w:t>
      </w:r>
    </w:p>
    <w:p w14:paraId="50F687A6" w14:textId="77777777" w:rsidR="00376FA7" w:rsidRPr="00376FA7" w:rsidRDefault="00376FA7" w:rsidP="00376FA7">
      <w:pPr>
        <w:rPr>
          <w:b/>
          <w:bCs/>
        </w:rPr>
      </w:pPr>
      <w:r w:rsidRPr="00376FA7">
        <w:rPr>
          <w:b/>
          <w:bCs/>
        </w:rPr>
        <w:t>このように開発部門のリソースを計画段階で明確にすることで、GSN論証の効果的な実施とプロセスの円滑な進行が期待されます。</w:t>
      </w:r>
    </w:p>
    <w:p w14:paraId="2BC809D2" w14:textId="77777777" w:rsidR="008A5DF5" w:rsidRPr="00376FA7" w:rsidRDefault="008A5DF5" w:rsidP="00E43335">
      <w:pPr>
        <w:rPr>
          <w:rFonts w:hint="eastAsia"/>
          <w:b/>
          <w:bCs/>
        </w:rPr>
      </w:pPr>
    </w:p>
    <w:p w14:paraId="2D499400" w14:textId="36050007" w:rsidR="00881076" w:rsidRPr="002F4A4E" w:rsidRDefault="002F4A4E" w:rsidP="002F4A4E">
      <w:pPr>
        <w:jc w:val="right"/>
      </w:pPr>
      <w:r w:rsidRPr="002F4A4E">
        <w:rPr>
          <w:rFonts w:hint="eastAsia"/>
        </w:rPr>
        <w:t>～　以上　～</w:t>
      </w:r>
    </w:p>
    <w:sectPr w:rsidR="00881076" w:rsidRPr="002F4A4E">
      <w:headerReference w:type="even" r:id="rId15"/>
      <w:headerReference w:type="default" r:id="rId16"/>
      <w:headerReference w:type="firs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E557C" w14:textId="77777777" w:rsidR="00FB47E4" w:rsidRDefault="00FB47E4" w:rsidP="00FB47E4">
      <w:r>
        <w:separator/>
      </w:r>
    </w:p>
  </w:endnote>
  <w:endnote w:type="continuationSeparator" w:id="0">
    <w:p w14:paraId="26CDD7F0" w14:textId="77777777" w:rsidR="00FB47E4" w:rsidRDefault="00FB47E4" w:rsidP="00FB47E4">
      <w:r>
        <w:continuationSeparator/>
      </w:r>
    </w:p>
  </w:endnote>
  <w:endnote w:type="continuationNotice" w:id="1">
    <w:p w14:paraId="44067A88" w14:textId="77777777" w:rsidR="004F3E72" w:rsidRDefault="004F3E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CF4E6" w14:textId="77777777" w:rsidR="00FB47E4" w:rsidRDefault="00FB47E4" w:rsidP="00FB47E4">
      <w:r>
        <w:separator/>
      </w:r>
    </w:p>
  </w:footnote>
  <w:footnote w:type="continuationSeparator" w:id="0">
    <w:p w14:paraId="1A76C6C1" w14:textId="77777777" w:rsidR="00FB47E4" w:rsidRDefault="00FB47E4" w:rsidP="00FB47E4">
      <w:r>
        <w:continuationSeparator/>
      </w:r>
    </w:p>
  </w:footnote>
  <w:footnote w:type="continuationNotice" w:id="1">
    <w:p w14:paraId="7E95F159" w14:textId="77777777" w:rsidR="004F3E72" w:rsidRDefault="004F3E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9A279" w14:textId="58A12B00" w:rsidR="00FB47E4" w:rsidRDefault="00FB47E4">
    <w:pPr>
      <w:pStyle w:val="a3"/>
    </w:pPr>
    <w:r>
      <w:rPr>
        <w:noProof/>
      </w:rPr>
      <mc:AlternateContent>
        <mc:Choice Requires="wps">
          <w:drawing>
            <wp:anchor distT="0" distB="0" distL="0" distR="0" simplePos="0" relativeHeight="251658241" behindDoc="0" locked="0" layoutInCell="1" allowOverlap="1" wp14:anchorId="39FB958A" wp14:editId="6EF6195F">
              <wp:simplePos x="635" y="635"/>
              <wp:positionH relativeFrom="page">
                <wp:align>right</wp:align>
              </wp:positionH>
              <wp:positionV relativeFrom="page">
                <wp:align>top</wp:align>
              </wp:positionV>
              <wp:extent cx="443865" cy="443865"/>
              <wp:effectExtent l="0" t="0" r="0" b="11430"/>
              <wp:wrapNone/>
              <wp:docPr id="2" name="テキスト ボックス 2"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DF8D76" w14:textId="3D42AD8D"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FB958A" id="_x0000_t202" coordsize="21600,21600" o:spt="202" path="m,l,21600r21600,l21600,xe">
              <v:stroke joinstyle="miter"/>
              <v:path gradientshapeok="t" o:connecttype="rect"/>
            </v:shapetype>
            <v:shape id="テキスト ボックス 2" o:spid="_x0000_s1026" type="#_x0000_t202" alt="L2: Internal use only" style="position:absolute;left:0;text-align:left;margin-left:-16.25pt;margin-top:0;width:34.95pt;height:34.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0ADF8D76" w14:textId="3D42AD8D"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2A39E" w14:textId="71C6D7B6" w:rsidR="00FB47E4" w:rsidRDefault="00FB47E4">
    <w:pPr>
      <w:pStyle w:val="a3"/>
    </w:pPr>
    <w:r>
      <w:rPr>
        <w:noProof/>
      </w:rPr>
      <mc:AlternateContent>
        <mc:Choice Requires="wps">
          <w:drawing>
            <wp:anchor distT="0" distB="0" distL="0" distR="0" simplePos="0" relativeHeight="251658242" behindDoc="0" locked="0" layoutInCell="1" allowOverlap="1" wp14:anchorId="744E661D" wp14:editId="31FE6ACD">
              <wp:simplePos x="635" y="635"/>
              <wp:positionH relativeFrom="page">
                <wp:align>right</wp:align>
              </wp:positionH>
              <wp:positionV relativeFrom="page">
                <wp:align>top</wp:align>
              </wp:positionV>
              <wp:extent cx="443865" cy="443865"/>
              <wp:effectExtent l="0" t="0" r="0" b="11430"/>
              <wp:wrapNone/>
              <wp:docPr id="3" name="テキスト ボックス 3"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B08904" w14:textId="3A853239"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44E661D" id="_x0000_t202" coordsize="21600,21600" o:spt="202" path="m,l,21600r21600,l21600,xe">
              <v:stroke joinstyle="miter"/>
              <v:path gradientshapeok="t" o:connecttype="rect"/>
            </v:shapetype>
            <v:shape id="テキスト ボックス 3" o:spid="_x0000_s1027" type="#_x0000_t202" alt="L2: Internal use only" style="position:absolute;left:0;text-align:left;margin-left:-16.25pt;margin-top:0;width:34.95pt;height:34.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7B08904" w14:textId="3A853239"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0E110" w14:textId="57698091" w:rsidR="00FB47E4" w:rsidRDefault="00FB47E4">
    <w:pPr>
      <w:pStyle w:val="a3"/>
    </w:pPr>
    <w:r>
      <w:rPr>
        <w:noProof/>
      </w:rPr>
      <mc:AlternateContent>
        <mc:Choice Requires="wps">
          <w:drawing>
            <wp:anchor distT="0" distB="0" distL="0" distR="0" simplePos="0" relativeHeight="251658240" behindDoc="0" locked="0" layoutInCell="1" allowOverlap="1" wp14:anchorId="05760D07" wp14:editId="24F3879B">
              <wp:simplePos x="635" y="635"/>
              <wp:positionH relativeFrom="page">
                <wp:align>right</wp:align>
              </wp:positionH>
              <wp:positionV relativeFrom="page">
                <wp:align>top</wp:align>
              </wp:positionV>
              <wp:extent cx="443865" cy="443865"/>
              <wp:effectExtent l="0" t="0" r="0" b="11430"/>
              <wp:wrapNone/>
              <wp:docPr id="1" name="テキスト ボックス 1" descr="L2: Internal use onl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7F6DE8" w14:textId="33A80991"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5760D07" id="_x0000_t202" coordsize="21600,21600" o:spt="202" path="m,l,21600r21600,l21600,xe">
              <v:stroke joinstyle="miter"/>
              <v:path gradientshapeok="t" o:connecttype="rect"/>
            </v:shapetype>
            <v:shape id="テキスト ボックス 1" o:spid="_x0000_s1028" type="#_x0000_t202" alt="L2: Internal use only" style="position:absolute;left:0;text-align:left;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filled="f" stroked="f">
              <v:textbox style="mso-fit-shape-to-text:t" inset="0,15pt,20pt,0">
                <w:txbxContent>
                  <w:p w14:paraId="007F6DE8" w14:textId="33A80991" w:rsidR="00FB47E4" w:rsidRPr="00FB47E4" w:rsidRDefault="00FB47E4" w:rsidP="00FB47E4">
                    <w:pPr>
                      <w:rPr>
                        <w:rFonts w:ascii="Calibri" w:eastAsia="Calibri" w:hAnsi="Calibri" w:cs="Calibri"/>
                        <w:noProof/>
                        <w:color w:val="FF0000"/>
                        <w:sz w:val="28"/>
                        <w:szCs w:val="28"/>
                      </w:rPr>
                    </w:pPr>
                    <w:r w:rsidRPr="00FB47E4">
                      <w:rPr>
                        <w:rFonts w:ascii="Calibri" w:eastAsia="Calibri" w:hAnsi="Calibri" w:cs="Calibri"/>
                        <w:noProof/>
                        <w:color w:val="FF0000"/>
                        <w:sz w:val="28"/>
                        <w:szCs w:val="28"/>
                      </w:rPr>
                      <w:t>L2: Internal use only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4DB1"/>
    <w:multiLevelType w:val="multilevel"/>
    <w:tmpl w:val="93BC2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2153B"/>
    <w:multiLevelType w:val="multilevel"/>
    <w:tmpl w:val="5ACC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86433"/>
    <w:multiLevelType w:val="multilevel"/>
    <w:tmpl w:val="6CDA4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8335D"/>
    <w:multiLevelType w:val="multilevel"/>
    <w:tmpl w:val="8A7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6F54A1"/>
    <w:multiLevelType w:val="multilevel"/>
    <w:tmpl w:val="E58A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5D5BA4"/>
    <w:multiLevelType w:val="multilevel"/>
    <w:tmpl w:val="E48C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608FC"/>
    <w:multiLevelType w:val="multilevel"/>
    <w:tmpl w:val="95380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78924358">
    <w:abstractNumId w:val="5"/>
  </w:num>
  <w:num w:numId="2" w16cid:durableId="805247051">
    <w:abstractNumId w:val="1"/>
  </w:num>
  <w:num w:numId="3" w16cid:durableId="1831405869">
    <w:abstractNumId w:val="6"/>
  </w:num>
  <w:num w:numId="4" w16cid:durableId="128862968">
    <w:abstractNumId w:val="4"/>
  </w:num>
  <w:num w:numId="5" w16cid:durableId="1651210570">
    <w:abstractNumId w:val="0"/>
  </w:num>
  <w:num w:numId="6" w16cid:durableId="1416587045">
    <w:abstractNumId w:val="2"/>
  </w:num>
  <w:num w:numId="7" w16cid:durableId="990986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FE"/>
    <w:rsid w:val="00012CB8"/>
    <w:rsid w:val="000278A0"/>
    <w:rsid w:val="00044745"/>
    <w:rsid w:val="00062028"/>
    <w:rsid w:val="00081E86"/>
    <w:rsid w:val="000E6FDD"/>
    <w:rsid w:val="001051E5"/>
    <w:rsid w:val="0013374D"/>
    <w:rsid w:val="00141C9E"/>
    <w:rsid w:val="00151123"/>
    <w:rsid w:val="001878C4"/>
    <w:rsid w:val="001959C1"/>
    <w:rsid w:val="001A45A7"/>
    <w:rsid w:val="001A7FB7"/>
    <w:rsid w:val="001B3472"/>
    <w:rsid w:val="001D0211"/>
    <w:rsid w:val="001E2741"/>
    <w:rsid w:val="001F3257"/>
    <w:rsid w:val="0024221C"/>
    <w:rsid w:val="00264A6B"/>
    <w:rsid w:val="00277ABC"/>
    <w:rsid w:val="0029443C"/>
    <w:rsid w:val="002B3DF1"/>
    <w:rsid w:val="002D271B"/>
    <w:rsid w:val="002F4A4E"/>
    <w:rsid w:val="00325C51"/>
    <w:rsid w:val="00335EE6"/>
    <w:rsid w:val="00376FA7"/>
    <w:rsid w:val="003A2E72"/>
    <w:rsid w:val="003B527D"/>
    <w:rsid w:val="003E053A"/>
    <w:rsid w:val="00484B69"/>
    <w:rsid w:val="004B640E"/>
    <w:rsid w:val="004F3E72"/>
    <w:rsid w:val="00522B81"/>
    <w:rsid w:val="00537BB2"/>
    <w:rsid w:val="005E1237"/>
    <w:rsid w:val="00617DEE"/>
    <w:rsid w:val="00676A13"/>
    <w:rsid w:val="006A5635"/>
    <w:rsid w:val="006A6AED"/>
    <w:rsid w:val="006B7442"/>
    <w:rsid w:val="006C1561"/>
    <w:rsid w:val="00707C33"/>
    <w:rsid w:val="00716444"/>
    <w:rsid w:val="007434AA"/>
    <w:rsid w:val="00747F20"/>
    <w:rsid w:val="007733DC"/>
    <w:rsid w:val="007B31B3"/>
    <w:rsid w:val="007C2BF9"/>
    <w:rsid w:val="00826F0E"/>
    <w:rsid w:val="00843869"/>
    <w:rsid w:val="008554B1"/>
    <w:rsid w:val="0087123E"/>
    <w:rsid w:val="00881076"/>
    <w:rsid w:val="008A5DF5"/>
    <w:rsid w:val="008C064A"/>
    <w:rsid w:val="008C6DE3"/>
    <w:rsid w:val="008D0C15"/>
    <w:rsid w:val="008E1916"/>
    <w:rsid w:val="009124BB"/>
    <w:rsid w:val="00926B08"/>
    <w:rsid w:val="009662D8"/>
    <w:rsid w:val="00982F4B"/>
    <w:rsid w:val="0098514C"/>
    <w:rsid w:val="00997C89"/>
    <w:rsid w:val="009D60D7"/>
    <w:rsid w:val="00A044E0"/>
    <w:rsid w:val="00A5697A"/>
    <w:rsid w:val="00A74F55"/>
    <w:rsid w:val="00A8516F"/>
    <w:rsid w:val="00A862A4"/>
    <w:rsid w:val="00AB3211"/>
    <w:rsid w:val="00B349A2"/>
    <w:rsid w:val="00B40C2F"/>
    <w:rsid w:val="00B700FE"/>
    <w:rsid w:val="00BC781C"/>
    <w:rsid w:val="00C03E1D"/>
    <w:rsid w:val="00C70418"/>
    <w:rsid w:val="00CB381E"/>
    <w:rsid w:val="00CC1E90"/>
    <w:rsid w:val="00CD1D26"/>
    <w:rsid w:val="00CD304C"/>
    <w:rsid w:val="00CF5088"/>
    <w:rsid w:val="00CF71E6"/>
    <w:rsid w:val="00D22E87"/>
    <w:rsid w:val="00D35AF8"/>
    <w:rsid w:val="00D8690C"/>
    <w:rsid w:val="00DB39BA"/>
    <w:rsid w:val="00E15DFA"/>
    <w:rsid w:val="00E17BC6"/>
    <w:rsid w:val="00E43335"/>
    <w:rsid w:val="00E7587D"/>
    <w:rsid w:val="00EA5ECD"/>
    <w:rsid w:val="00EB4CE8"/>
    <w:rsid w:val="00EC6ED6"/>
    <w:rsid w:val="00ED1480"/>
    <w:rsid w:val="00EF380C"/>
    <w:rsid w:val="00F123C1"/>
    <w:rsid w:val="00F21453"/>
    <w:rsid w:val="00F228CC"/>
    <w:rsid w:val="00F55E6A"/>
    <w:rsid w:val="00FB47E4"/>
    <w:rsid w:val="00FD7EA9"/>
    <w:rsid w:val="00FF5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0CF8E2C"/>
  <w15:chartTrackingRefBased/>
  <w15:docId w15:val="{FEED989B-109B-4329-AE83-1F8CA7EDA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semiHidden/>
    <w:unhideWhenUsed/>
    <w:qFormat/>
    <w:rsid w:val="00B40C2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semiHidden/>
    <w:unhideWhenUsed/>
    <w:qFormat/>
    <w:rsid w:val="00B40C2F"/>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7E4"/>
    <w:pPr>
      <w:tabs>
        <w:tab w:val="center" w:pos="4252"/>
        <w:tab w:val="right" w:pos="8504"/>
      </w:tabs>
      <w:snapToGrid w:val="0"/>
    </w:pPr>
  </w:style>
  <w:style w:type="character" w:customStyle="1" w:styleId="a4">
    <w:name w:val="ヘッダー (文字)"/>
    <w:basedOn w:val="a0"/>
    <w:link w:val="a3"/>
    <w:uiPriority w:val="99"/>
    <w:rsid w:val="00FB47E4"/>
  </w:style>
  <w:style w:type="paragraph" w:styleId="a5">
    <w:name w:val="footer"/>
    <w:basedOn w:val="a"/>
    <w:link w:val="a6"/>
    <w:uiPriority w:val="99"/>
    <w:unhideWhenUsed/>
    <w:rsid w:val="00FB47E4"/>
    <w:pPr>
      <w:tabs>
        <w:tab w:val="center" w:pos="4252"/>
        <w:tab w:val="right" w:pos="8504"/>
      </w:tabs>
      <w:snapToGrid w:val="0"/>
    </w:pPr>
  </w:style>
  <w:style w:type="character" w:customStyle="1" w:styleId="a6">
    <w:name w:val="フッター (文字)"/>
    <w:basedOn w:val="a0"/>
    <w:link w:val="a5"/>
    <w:uiPriority w:val="99"/>
    <w:rsid w:val="00FB47E4"/>
  </w:style>
  <w:style w:type="character" w:customStyle="1" w:styleId="20">
    <w:name w:val="見出し 2 (文字)"/>
    <w:basedOn w:val="a0"/>
    <w:link w:val="2"/>
    <w:uiPriority w:val="9"/>
    <w:semiHidden/>
    <w:rsid w:val="00B40C2F"/>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B40C2F"/>
    <w:rPr>
      <w:rFonts w:ascii="ＭＳ Ｐゴシック" w:eastAsia="ＭＳ Ｐゴシック" w:hAnsi="ＭＳ Ｐゴシック" w:cs="ＭＳ Ｐゴシック"/>
      <w:b/>
      <w:bCs/>
      <w:kern w:val="0"/>
      <w:sz w:val="27"/>
      <w:szCs w:val="27"/>
    </w:rPr>
  </w:style>
  <w:style w:type="character" w:styleId="a7">
    <w:name w:val="Strong"/>
    <w:basedOn w:val="a0"/>
    <w:uiPriority w:val="22"/>
    <w:qFormat/>
    <w:rsid w:val="00B40C2F"/>
    <w:rPr>
      <w:b/>
      <w:bCs/>
    </w:rPr>
  </w:style>
  <w:style w:type="character" w:styleId="a8">
    <w:name w:val="Hyperlink"/>
    <w:basedOn w:val="a0"/>
    <w:uiPriority w:val="99"/>
    <w:unhideWhenUsed/>
    <w:rsid w:val="00716444"/>
    <w:rPr>
      <w:color w:val="0563C1" w:themeColor="hyperlink"/>
      <w:u w:val="single"/>
    </w:rPr>
  </w:style>
  <w:style w:type="character" w:styleId="a9">
    <w:name w:val="Unresolved Mention"/>
    <w:basedOn w:val="a0"/>
    <w:uiPriority w:val="99"/>
    <w:semiHidden/>
    <w:unhideWhenUsed/>
    <w:rsid w:val="00716444"/>
    <w:rPr>
      <w:color w:val="605E5C"/>
      <w:shd w:val="clear" w:color="auto" w:fill="E1DFDD"/>
    </w:rPr>
  </w:style>
  <w:style w:type="character" w:styleId="aa">
    <w:name w:val="FollowedHyperlink"/>
    <w:basedOn w:val="a0"/>
    <w:uiPriority w:val="99"/>
    <w:semiHidden/>
    <w:unhideWhenUsed/>
    <w:rsid w:val="006A56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655708">
      <w:bodyDiv w:val="1"/>
      <w:marLeft w:val="0"/>
      <w:marRight w:val="0"/>
      <w:marTop w:val="0"/>
      <w:marBottom w:val="0"/>
      <w:divBdr>
        <w:top w:val="none" w:sz="0" w:space="0" w:color="auto"/>
        <w:left w:val="none" w:sz="0" w:space="0" w:color="auto"/>
        <w:bottom w:val="none" w:sz="0" w:space="0" w:color="auto"/>
        <w:right w:val="none" w:sz="0" w:space="0" w:color="auto"/>
      </w:divBdr>
    </w:div>
    <w:div w:id="1324091631">
      <w:bodyDiv w:val="1"/>
      <w:marLeft w:val="0"/>
      <w:marRight w:val="0"/>
      <w:marTop w:val="0"/>
      <w:marBottom w:val="0"/>
      <w:divBdr>
        <w:top w:val="none" w:sz="0" w:space="0" w:color="auto"/>
        <w:left w:val="none" w:sz="0" w:space="0" w:color="auto"/>
        <w:bottom w:val="none" w:sz="0" w:space="0" w:color="auto"/>
        <w:right w:val="none" w:sz="0" w:space="0" w:color="auto"/>
      </w:divBdr>
    </w:div>
    <w:div w:id="1477530395">
      <w:bodyDiv w:val="1"/>
      <w:marLeft w:val="0"/>
      <w:marRight w:val="0"/>
      <w:marTop w:val="0"/>
      <w:marBottom w:val="0"/>
      <w:divBdr>
        <w:top w:val="none" w:sz="0" w:space="0" w:color="auto"/>
        <w:left w:val="none" w:sz="0" w:space="0" w:color="auto"/>
        <w:bottom w:val="none" w:sz="0" w:space="0" w:color="auto"/>
        <w:right w:val="none" w:sz="0" w:space="0" w:color="auto"/>
      </w:divBdr>
    </w:div>
    <w:div w:id="1683701527">
      <w:bodyDiv w:val="1"/>
      <w:marLeft w:val="0"/>
      <w:marRight w:val="0"/>
      <w:marTop w:val="0"/>
      <w:marBottom w:val="0"/>
      <w:divBdr>
        <w:top w:val="none" w:sz="0" w:space="0" w:color="auto"/>
        <w:left w:val="none" w:sz="0" w:space="0" w:color="auto"/>
        <w:bottom w:val="none" w:sz="0" w:space="0" w:color="auto"/>
        <w:right w:val="none" w:sz="0" w:space="0" w:color="auto"/>
      </w:divBdr>
    </w:div>
    <w:div w:id="176530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2svn01/svn/FS_config/_Functional_safety_development_manual/010_FuSa_development/" TargetMode="External"/><Relationship Id="rId13" Type="http://schemas.openxmlformats.org/officeDocument/2006/relationships/hyperlink" Target="https://d.docs.live.net/671d850f31b22787/&#12489;&#12461;&#12517;&#12513;&#12531;&#12488;/&#25285;&#24403;&#26989;&#21209;/2024/TDK/&#12300;GSN&#12395;&#12424;&#12427;&#27231;&#33021;&#23433;&#20840;&#35542;&#35388;&#12301;%20&#35336;&#30011;&#26360;&#12479;&#12473;&#12463;&#12484;&#12522;&#12540;.xls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docs.live.net/671d850f31b22787/&#12489;&#12461;&#12517;&#12513;&#12531;&#12488;/&#25285;&#24403;&#26989;&#21209;/2024/TDK/&#12300;GSN&#12395;&#12424;&#12427;&#27231;&#33021;&#23433;&#20840;&#35542;&#35388;&#12301;%20&#35336;&#30011;&#26360;&#12479;&#12473;&#12463;&#12484;&#12522;&#12540;.xlsx"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docs.live.net/671d850f31b22787/&#12489;&#12461;&#12517;&#12513;&#12531;&#12488;/&#25285;&#24403;&#26989;&#21209;/2024/TDK/GSN&#12395;&#12424;&#12427;&#27231;&#33021;&#23433;&#20840;&#35542;&#35388;&#12514;&#12487;&#12523;.doc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docs.live.net/671d850f31b22787/&#12489;&#12461;&#12517;&#12513;&#12531;&#12488;/&#25285;&#24403;&#26989;&#21209;/2024/TDK/GSN&#23433;&#20840;&#35542;&#35388;&#22259;&#38754;&#65297;.xls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d.docs.live.net/671d850f31b22787/&#12489;&#12461;&#12517;&#12513;&#12531;&#12488;/&#25285;&#24403;&#26989;&#21209;/2024/TDK/02_&#27491;&#12375;&#12356;&#12503;&#12525;&#12475;&#12473;/01_ISO26262&#28310;&#25312;&#12503;&#12525;&#12475;&#12473;/01_&#12503;&#12525;&#12475;&#12473;&#36969;&#21512;&#24615;&#35413;&#20385;/99_&#12381;&#12398;&#20182;&#36039;&#26009;/&#23450;&#26399;&#30340;&#12394;&#12503;&#12525;&#12475;&#12473;&#30435;&#26619;&#12398;&#25552;&#26696;&#35336;&#30011;&#26908;&#35342;.doc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2b90d-8b2c-464d-94f0-5bcfb983aed4}" enabled="1" method="Standard" siteId="{7e452255-946f-4f17-800a-a0fb6835dc6c}" removed="0"/>
</clbl:labelList>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2701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Toshiyuki Takayasu</dc:creator>
  <cp:keywords/>
  <dc:description/>
  <cp:lastModifiedBy>toshiyuki takayasu</cp:lastModifiedBy>
  <cp:revision>2</cp:revision>
  <dcterms:created xsi:type="dcterms:W3CDTF">2024-11-15T01:06:00Z</dcterms:created>
  <dcterms:modified xsi:type="dcterms:W3CDTF">2024-11-15T01:06:00Z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#ff0000,14,Calibri</vt:lpwstr>
  </property>
  <property fmtid="{D5CDD505-2E9C-101B-9397-08002B2CF9AE}" pid="4" name="ClassificationContentMarkingHeaderText">
    <vt:lpwstr>L2: Internal use only</vt:lpwstr>
  </property>
</Properties>
</file>